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622F6" w14:textId="77777777" w:rsidR="00953B63" w:rsidRPr="00953B63" w:rsidRDefault="00953B63" w:rsidP="004613E2">
      <w:pPr>
        <w:pStyle w:val="NoSpacing"/>
      </w:pPr>
    </w:p>
    <w:p w14:paraId="06C8206C" w14:textId="77777777" w:rsidR="00592327" w:rsidRPr="004D4271" w:rsidRDefault="00592327" w:rsidP="00592327">
      <w:pPr>
        <w:jc w:val="center"/>
        <w:textAlignment w:val="baseline"/>
        <w:rPr>
          <w:rFonts w:ascii="Public Sans" w:eastAsia="Times New Roman" w:hAnsi="Public Sans" w:cs="Segoe UI"/>
          <w:sz w:val="18"/>
          <w:szCs w:val="18"/>
        </w:rPr>
      </w:pPr>
      <w:r w:rsidRPr="004D4271">
        <w:rPr>
          <w:rFonts w:ascii="Public Sans" w:eastAsia="Times New Roman" w:hAnsi="Public Sans"/>
          <w:b/>
          <w:bCs/>
          <w:sz w:val="28"/>
          <w:szCs w:val="28"/>
        </w:rPr>
        <w:t>Response to Comments</w:t>
      </w:r>
      <w:r w:rsidRPr="004D4271">
        <w:rPr>
          <w:rFonts w:ascii="Public Sans" w:eastAsia="Times New Roman" w:hAnsi="Public Sans"/>
          <w:sz w:val="28"/>
          <w:szCs w:val="28"/>
        </w:rPr>
        <w:t> </w:t>
      </w:r>
    </w:p>
    <w:p w14:paraId="469075AC" w14:textId="77777777" w:rsidR="00592327" w:rsidRPr="004D4271" w:rsidRDefault="00592327" w:rsidP="00592327">
      <w:pPr>
        <w:jc w:val="center"/>
        <w:textAlignment w:val="baseline"/>
        <w:rPr>
          <w:rFonts w:ascii="Public Sans" w:eastAsia="Times New Roman" w:hAnsi="Public Sans"/>
          <w:sz w:val="28"/>
          <w:szCs w:val="28"/>
        </w:rPr>
      </w:pPr>
      <w:r w:rsidRPr="004D4271">
        <w:rPr>
          <w:rFonts w:ascii="Public Sans" w:eastAsia="Times New Roman" w:hAnsi="Public Sans"/>
          <w:b/>
          <w:bCs/>
          <w:sz w:val="28"/>
          <w:szCs w:val="28"/>
        </w:rPr>
        <w:t>Regarding State Implementation Plan Revisions</w:t>
      </w:r>
      <w:r w:rsidRPr="004D4271">
        <w:rPr>
          <w:rFonts w:ascii="Public Sans" w:eastAsia="Times New Roman" w:hAnsi="Public Sans"/>
          <w:sz w:val="28"/>
          <w:szCs w:val="28"/>
        </w:rPr>
        <w:t> </w:t>
      </w:r>
      <w:r w:rsidRPr="004D4271">
        <w:rPr>
          <w:rFonts w:ascii="Public Sans" w:eastAsia="Times New Roman" w:hAnsi="Public Sans"/>
          <w:b/>
          <w:bCs/>
          <w:sz w:val="28"/>
          <w:szCs w:val="28"/>
        </w:rPr>
        <w:t>concerning</w:t>
      </w:r>
    </w:p>
    <w:p w14:paraId="2EFF284B" w14:textId="77777777" w:rsidR="00592327" w:rsidRPr="004D4271" w:rsidRDefault="00592327" w:rsidP="00592327">
      <w:pPr>
        <w:jc w:val="center"/>
        <w:textAlignment w:val="baseline"/>
        <w:rPr>
          <w:rFonts w:ascii="Public Sans" w:eastAsia="Times New Roman" w:hAnsi="Public Sans"/>
          <w:b/>
          <w:bCs/>
          <w:sz w:val="28"/>
          <w:szCs w:val="28"/>
        </w:rPr>
      </w:pPr>
      <w:r w:rsidRPr="004D4271">
        <w:rPr>
          <w:rFonts w:ascii="Public Sans" w:eastAsia="Times New Roman" w:hAnsi="Public Sans"/>
          <w:b/>
          <w:bCs/>
          <w:sz w:val="28"/>
          <w:szCs w:val="28"/>
        </w:rPr>
        <w:t>PM2.5 Maintenance Plan for New Haven and Fairfield Counties</w:t>
      </w:r>
    </w:p>
    <w:p w14:paraId="0DB992CD" w14:textId="77777777" w:rsidR="00592327" w:rsidRPr="004D4271" w:rsidRDefault="00592327" w:rsidP="00592327">
      <w:pPr>
        <w:jc w:val="center"/>
        <w:textAlignment w:val="baseline"/>
        <w:rPr>
          <w:rFonts w:ascii="Public Sans" w:eastAsia="Times New Roman" w:hAnsi="Public Sans"/>
        </w:rPr>
      </w:pPr>
    </w:p>
    <w:p w14:paraId="234175E0" w14:textId="2247CF7D" w:rsidR="00592327" w:rsidRPr="004D4271" w:rsidRDefault="00592327" w:rsidP="00592327">
      <w:pPr>
        <w:textAlignment w:val="baseline"/>
        <w:rPr>
          <w:rFonts w:ascii="Public Sans" w:eastAsia="Times New Roman" w:hAnsi="Public Sans"/>
        </w:rPr>
      </w:pPr>
      <w:r w:rsidRPr="004D4271">
        <w:rPr>
          <w:rFonts w:ascii="Public Sans" w:eastAsia="Times New Roman" w:hAnsi="Public Sans"/>
        </w:rPr>
        <w:t xml:space="preserve">On January 11, 2023, the Commissioner of the Department of Energy and Environmental Protection (DEEP) published notice of intent to revise the State Implementation Plan (SIP) for air quality to address the requirements under sections </w:t>
      </w:r>
      <w:proofErr w:type="gramStart"/>
      <w:r w:rsidRPr="004D4271">
        <w:rPr>
          <w:rFonts w:ascii="Public Sans" w:eastAsia="Times New Roman" w:hAnsi="Public Sans"/>
        </w:rPr>
        <w:t>175A(</w:t>
      </w:r>
      <w:proofErr w:type="gramEnd"/>
      <w:r w:rsidRPr="004D4271">
        <w:rPr>
          <w:rFonts w:ascii="Public Sans" w:eastAsia="Times New Roman" w:hAnsi="Public Sans"/>
        </w:rPr>
        <w:t xml:space="preserve">a) and (b) of the Clean Air Act (CAA) for areas that have been redesignated from nonattainment to attainment (i.e. maintenance areas). This is the </w:t>
      </w:r>
      <w:r w:rsidRPr="004D4271">
        <w:rPr>
          <w:rFonts w:ascii="Public Sans" w:hAnsi="Public Sans"/>
        </w:rPr>
        <w:t>second 10-year plan to assure continued maintenance of the National Ambient Air Quality Standards (NAAQS) for fine particulate matter (PM2.5) in the Connecticut portion of the New York-New Jersey-Connecticut (NY-NJ-CT) maintenance area</w:t>
      </w:r>
      <w:r w:rsidRPr="00D64CFE">
        <w:rPr>
          <w:rFonts w:ascii="Public Sans" w:hAnsi="Public Sans"/>
        </w:rPr>
        <w:t>.</w:t>
      </w:r>
      <w:r w:rsidRPr="00D64CFE">
        <w:rPr>
          <w:rFonts w:ascii="Public Sans" w:eastAsia="Times New Roman" w:hAnsi="Public Sans"/>
        </w:rPr>
        <w:t xml:space="preserve"> </w:t>
      </w:r>
      <w:r w:rsidRPr="004D4271">
        <w:rPr>
          <w:rFonts w:ascii="Public Sans" w:eastAsia="Times New Roman" w:hAnsi="Public Sans"/>
        </w:rPr>
        <w:t xml:space="preserve">Pursuant to such notice, the proposed SIP was open for comments and a public hearing was scheduled for February </w:t>
      </w:r>
      <w:r w:rsidR="002403E6">
        <w:rPr>
          <w:rFonts w:ascii="Public Sans" w:eastAsia="Times New Roman" w:hAnsi="Public Sans"/>
        </w:rPr>
        <w:t>22</w:t>
      </w:r>
      <w:r w:rsidRPr="004D4271">
        <w:rPr>
          <w:rFonts w:ascii="Public Sans" w:eastAsia="Times New Roman" w:hAnsi="Public Sans"/>
        </w:rPr>
        <w:t>, 2023, provided such a hearing was requested. No such request was received, and the hearing was cancelled on February 1</w:t>
      </w:r>
      <w:r w:rsidR="002403E6">
        <w:rPr>
          <w:rFonts w:ascii="Public Sans" w:eastAsia="Times New Roman" w:hAnsi="Public Sans"/>
        </w:rPr>
        <w:t>5</w:t>
      </w:r>
      <w:r w:rsidRPr="004D4271">
        <w:rPr>
          <w:rFonts w:ascii="Public Sans" w:eastAsia="Times New Roman" w:hAnsi="Public Sans"/>
        </w:rPr>
        <w:t xml:space="preserve">, 2023. The public comment period remained open through February 22, 2023. </w:t>
      </w:r>
    </w:p>
    <w:p w14:paraId="2153DD15" w14:textId="77777777" w:rsidR="00592327" w:rsidRPr="004D4271" w:rsidRDefault="00592327" w:rsidP="00592327">
      <w:pPr>
        <w:textAlignment w:val="baseline"/>
        <w:rPr>
          <w:rFonts w:ascii="Public Sans" w:eastAsia="Times New Roman" w:hAnsi="Public Sans"/>
        </w:rPr>
      </w:pPr>
    </w:p>
    <w:p w14:paraId="295525C7"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This report addresses the comments received on the proposed implementation plan revisions during the comment period and final recommendations for the plan revision.  </w:t>
      </w:r>
    </w:p>
    <w:p w14:paraId="42971125" w14:textId="77777777" w:rsidR="00592327" w:rsidRPr="004D4271" w:rsidRDefault="00592327" w:rsidP="00592327">
      <w:pPr>
        <w:textAlignment w:val="baseline"/>
        <w:rPr>
          <w:rFonts w:ascii="Public Sans" w:eastAsia="Times New Roman" w:hAnsi="Public Sans"/>
        </w:rPr>
      </w:pPr>
    </w:p>
    <w:p w14:paraId="387987B7"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Written comments were received from the following persons/organizations: </w:t>
      </w:r>
    </w:p>
    <w:p w14:paraId="29585811" w14:textId="77777777" w:rsidR="00592327" w:rsidRPr="004D4271" w:rsidRDefault="00592327" w:rsidP="00592327">
      <w:pPr>
        <w:textAlignment w:val="baseline"/>
        <w:rPr>
          <w:rFonts w:ascii="Public Sans" w:eastAsia="Times New Roman" w:hAnsi="Public Sans"/>
        </w:rPr>
      </w:pPr>
    </w:p>
    <w:p w14:paraId="3D373CD2"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1. Eric Wortman, Acting Manager </w:t>
      </w:r>
    </w:p>
    <w:p w14:paraId="0B252A6B"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Air Quality Branch  </w:t>
      </w:r>
    </w:p>
    <w:p w14:paraId="2BD91474"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U.S. EPA, Region 1 </w:t>
      </w:r>
    </w:p>
    <w:p w14:paraId="41F267DA"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5 Post Office Square, Suite 100 </w:t>
      </w:r>
    </w:p>
    <w:p w14:paraId="0B86FB80"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Boston, MA 02109-3912 </w:t>
      </w:r>
    </w:p>
    <w:p w14:paraId="546B2727"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 </w:t>
      </w:r>
    </w:p>
    <w:p w14:paraId="2DC9F237"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 </w:t>
      </w:r>
    </w:p>
    <w:p w14:paraId="375DE2CD" w14:textId="60E6C4F4"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All comments submitted are available on the DEEP website</w:t>
      </w:r>
      <w:r w:rsidRPr="004D4271">
        <w:rPr>
          <w:rStyle w:val="FootnoteReference"/>
          <w:rFonts w:ascii="Public Sans" w:eastAsia="Times New Roman" w:hAnsi="Public Sans"/>
        </w:rPr>
        <w:footnoteReference w:id="1"/>
      </w:r>
      <w:r w:rsidRPr="004D4271">
        <w:rPr>
          <w:rFonts w:ascii="Public Sans" w:eastAsia="Times New Roman" w:hAnsi="Public Sans"/>
        </w:rPr>
        <w:t xml:space="preserve">, together with the proposed and revised SIP. </w:t>
      </w:r>
      <w:r w:rsidR="00D64CFE">
        <w:rPr>
          <w:rFonts w:ascii="Public Sans" w:eastAsia="Times New Roman" w:hAnsi="Public Sans"/>
        </w:rPr>
        <w:t>Summary of t</w:t>
      </w:r>
      <w:r w:rsidRPr="004D4271">
        <w:rPr>
          <w:rFonts w:ascii="Public Sans" w:eastAsia="Times New Roman" w:hAnsi="Public Sans"/>
        </w:rPr>
        <w:t>he comments a</w:t>
      </w:r>
      <w:r w:rsidR="00D64CFE">
        <w:rPr>
          <w:rFonts w:ascii="Public Sans" w:eastAsia="Times New Roman" w:hAnsi="Public Sans"/>
        </w:rPr>
        <w:t>ppear</w:t>
      </w:r>
      <w:r w:rsidRPr="004D4271">
        <w:rPr>
          <w:rFonts w:ascii="Public Sans" w:eastAsia="Times New Roman" w:hAnsi="Public Sans"/>
        </w:rPr>
        <w:t xml:space="preserve"> below with DEEP’s responses. </w:t>
      </w:r>
    </w:p>
    <w:p w14:paraId="27D29C81"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 </w:t>
      </w:r>
    </w:p>
    <w:p w14:paraId="55CAC605" w14:textId="77777777" w:rsidR="00592327" w:rsidRPr="004D4271" w:rsidRDefault="00592327" w:rsidP="00592327">
      <w:pPr>
        <w:pStyle w:val="Heading2"/>
        <w:rPr>
          <w:rFonts w:ascii="Public Sans" w:eastAsia="Times New Roman" w:hAnsi="Public Sans" w:cs="Times New Roman"/>
          <w:b/>
          <w:bCs/>
          <w:color w:val="auto"/>
          <w:sz w:val="18"/>
          <w:szCs w:val="18"/>
        </w:rPr>
      </w:pPr>
      <w:r w:rsidRPr="004D4271">
        <w:rPr>
          <w:rFonts w:ascii="Public Sans" w:eastAsia="Times New Roman" w:hAnsi="Public Sans" w:cs="Times New Roman"/>
          <w:b/>
          <w:bCs/>
          <w:color w:val="auto"/>
        </w:rPr>
        <w:t>Comments by Eric Wortman/EPA </w:t>
      </w:r>
    </w:p>
    <w:p w14:paraId="5F1BA0C1" w14:textId="77777777" w:rsidR="00592327" w:rsidRPr="004D4271" w:rsidRDefault="00592327" w:rsidP="00592327">
      <w:pPr>
        <w:textAlignment w:val="baseline"/>
        <w:rPr>
          <w:rFonts w:ascii="Public Sans" w:eastAsia="Times New Roman" w:hAnsi="Public Sans" w:cs="Segoe UI"/>
          <w:sz w:val="18"/>
          <w:szCs w:val="18"/>
        </w:rPr>
      </w:pPr>
      <w:r w:rsidRPr="004D4271">
        <w:rPr>
          <w:rFonts w:ascii="Public Sans" w:eastAsia="Times New Roman" w:hAnsi="Public Sans"/>
        </w:rPr>
        <w:t> </w:t>
      </w:r>
    </w:p>
    <w:p w14:paraId="41F2FE61" w14:textId="2569A7E8" w:rsidR="00326AB9" w:rsidRPr="004D4271" w:rsidRDefault="00592327" w:rsidP="00326AB9">
      <w:pPr>
        <w:textAlignment w:val="baseline"/>
        <w:rPr>
          <w:rFonts w:ascii="Public Sans" w:eastAsia="Times New Roman" w:hAnsi="Public Sans"/>
        </w:rPr>
      </w:pPr>
      <w:r w:rsidRPr="004D4271">
        <w:rPr>
          <w:rFonts w:ascii="Public Sans" w:eastAsia="Times New Roman" w:hAnsi="Public Sans"/>
          <w:b/>
          <w:bCs/>
        </w:rPr>
        <w:t>Comment:</w:t>
      </w:r>
      <w:r w:rsidRPr="004D4271">
        <w:rPr>
          <w:rFonts w:ascii="Public Sans" w:eastAsia="Times New Roman" w:hAnsi="Public Sans"/>
        </w:rPr>
        <w:t xml:space="preserve"> On page 11 (Figures 2-1 and 2-2), the overall trendlines of the design values for all sites show a clear decrease since 2002, but there appears to have been a slight increase </w:t>
      </w:r>
      <w:r w:rsidR="00372581">
        <w:rPr>
          <w:rFonts w:ascii="Public Sans" w:eastAsia="Times New Roman" w:hAnsi="Public Sans"/>
        </w:rPr>
        <w:t>since</w:t>
      </w:r>
      <w:r w:rsidR="00F95496" w:rsidRPr="004D4271">
        <w:rPr>
          <w:rFonts w:ascii="Public Sans" w:eastAsia="Times New Roman" w:hAnsi="Public Sans"/>
        </w:rPr>
        <w:t xml:space="preserve"> </w:t>
      </w:r>
      <w:r w:rsidRPr="004D4271">
        <w:rPr>
          <w:rFonts w:ascii="Public Sans" w:eastAsia="Times New Roman" w:hAnsi="Public Sans"/>
        </w:rPr>
        <w:t>2019</w:t>
      </w:r>
      <w:r w:rsidR="00F50638">
        <w:rPr>
          <w:rFonts w:ascii="Public Sans" w:eastAsia="Times New Roman" w:hAnsi="Public Sans"/>
        </w:rPr>
        <w:t>.</w:t>
      </w:r>
      <w:r w:rsidRPr="004D4271">
        <w:rPr>
          <w:rFonts w:ascii="Public Sans" w:eastAsia="Times New Roman" w:hAnsi="Public Sans"/>
        </w:rPr>
        <w:t xml:space="preserve"> Connecticut DEEP could consider adding an explanation for this increase in monitor</w:t>
      </w:r>
      <w:r w:rsidR="00F97D9F">
        <w:rPr>
          <w:rFonts w:ascii="Public Sans" w:eastAsia="Times New Roman" w:hAnsi="Public Sans"/>
        </w:rPr>
        <w:t xml:space="preserve"> </w:t>
      </w:r>
      <w:r w:rsidR="00326AB9" w:rsidRPr="004D4271">
        <w:rPr>
          <w:rFonts w:ascii="Public Sans" w:eastAsia="Times New Roman" w:hAnsi="Public Sans"/>
        </w:rPr>
        <w:t>readings, and how this increase will not affect the State recording any monitor or design value violations.</w:t>
      </w:r>
    </w:p>
    <w:p w14:paraId="2215A928" w14:textId="77777777" w:rsidR="00592327" w:rsidRPr="004D4271" w:rsidRDefault="00592327" w:rsidP="003B2302">
      <w:pPr>
        <w:textAlignment w:val="baseline"/>
        <w:rPr>
          <w:rFonts w:ascii="Public Sans" w:eastAsia="Times New Roman" w:hAnsi="Public Sans"/>
          <w:b/>
          <w:bCs/>
        </w:rPr>
      </w:pPr>
    </w:p>
    <w:p w14:paraId="340715CF" w14:textId="49E10E38" w:rsidR="00DE02E8" w:rsidRDefault="00592327" w:rsidP="00922609">
      <w:pPr>
        <w:ind w:left="720"/>
        <w:textAlignment w:val="baseline"/>
        <w:rPr>
          <w:rFonts w:ascii="Public Sans" w:eastAsia="Times New Roman" w:hAnsi="Public Sans"/>
        </w:rPr>
      </w:pPr>
      <w:r w:rsidRPr="004D4271">
        <w:rPr>
          <w:rFonts w:ascii="Public Sans" w:eastAsia="Times New Roman" w:hAnsi="Public Sans"/>
          <w:b/>
          <w:bCs/>
        </w:rPr>
        <w:lastRenderedPageBreak/>
        <w:t>Response:</w:t>
      </w:r>
      <w:r w:rsidRPr="004D4271">
        <w:rPr>
          <w:rFonts w:ascii="Public Sans" w:eastAsia="Times New Roman" w:hAnsi="Public Sans"/>
        </w:rPr>
        <w:t xml:space="preserve"> </w:t>
      </w:r>
      <w:r w:rsidR="005449E8">
        <w:rPr>
          <w:rFonts w:ascii="Public Sans" w:eastAsia="Times New Roman" w:hAnsi="Public Sans"/>
        </w:rPr>
        <w:t>While the mild increase after 2019 is not outside the normal fluctuations seen within the data, any</w:t>
      </w:r>
      <w:r w:rsidR="00B84667">
        <w:rPr>
          <w:rFonts w:ascii="Public Sans" w:eastAsia="Times New Roman" w:hAnsi="Public Sans"/>
        </w:rPr>
        <w:t xml:space="preserve"> </w:t>
      </w:r>
      <w:r w:rsidRPr="004D4271">
        <w:rPr>
          <w:rFonts w:ascii="Public Sans" w:eastAsia="Times New Roman" w:hAnsi="Public Sans"/>
        </w:rPr>
        <w:t>increase in monitor readings is</w:t>
      </w:r>
      <w:r w:rsidR="002A4DE2">
        <w:rPr>
          <w:rFonts w:ascii="Public Sans" w:eastAsia="Times New Roman" w:hAnsi="Public Sans"/>
        </w:rPr>
        <w:t xml:space="preserve"> concerning to DEEP</w:t>
      </w:r>
      <w:r w:rsidR="005449E8">
        <w:rPr>
          <w:rFonts w:ascii="Public Sans" w:eastAsia="Times New Roman" w:hAnsi="Public Sans"/>
        </w:rPr>
        <w:t xml:space="preserve">. This increase was investigated and DEEP observed that </w:t>
      </w:r>
      <w:r w:rsidR="00D90CA5">
        <w:rPr>
          <w:rFonts w:ascii="Public Sans" w:eastAsia="Times New Roman" w:hAnsi="Public Sans"/>
        </w:rPr>
        <w:t xml:space="preserve">data in </w:t>
      </w:r>
      <w:r w:rsidR="005449E8" w:rsidRPr="004D4271">
        <w:rPr>
          <w:rFonts w:ascii="Public Sans" w:eastAsia="Times New Roman" w:hAnsi="Public Sans"/>
        </w:rPr>
        <w:t xml:space="preserve">2020 and 2021 </w:t>
      </w:r>
      <w:r w:rsidR="00D90CA5">
        <w:rPr>
          <w:rFonts w:ascii="Public Sans" w:eastAsia="Times New Roman" w:hAnsi="Public Sans"/>
        </w:rPr>
        <w:t>were abnormally high on</w:t>
      </w:r>
      <w:r w:rsidR="005449E8" w:rsidRPr="004D4271">
        <w:rPr>
          <w:rFonts w:ascii="Public Sans" w:eastAsia="Times New Roman" w:hAnsi="Public Sans"/>
        </w:rPr>
        <w:t xml:space="preserve"> </w:t>
      </w:r>
      <w:r w:rsidR="00D90CA5">
        <w:rPr>
          <w:rFonts w:ascii="Public Sans" w:eastAsia="Times New Roman" w:hAnsi="Public Sans"/>
        </w:rPr>
        <w:t xml:space="preserve">multiple </w:t>
      </w:r>
      <w:r w:rsidR="005449E8" w:rsidRPr="004D4271">
        <w:rPr>
          <w:rFonts w:ascii="Public Sans" w:eastAsia="Times New Roman" w:hAnsi="Public Sans"/>
        </w:rPr>
        <w:t>days that correlated with</w:t>
      </w:r>
      <w:r w:rsidR="00D90CA5">
        <w:rPr>
          <w:rFonts w:ascii="Public Sans" w:eastAsia="Times New Roman" w:hAnsi="Public Sans"/>
        </w:rPr>
        <w:t xml:space="preserve"> smoke impact to Connecticut from</w:t>
      </w:r>
      <w:r w:rsidR="005449E8" w:rsidRPr="004D4271">
        <w:rPr>
          <w:rFonts w:ascii="Public Sans" w:eastAsia="Times New Roman" w:hAnsi="Public Sans"/>
        </w:rPr>
        <w:t xml:space="preserve"> western wildfire</w:t>
      </w:r>
      <w:r w:rsidR="00D90CA5">
        <w:rPr>
          <w:rFonts w:ascii="Public Sans" w:eastAsia="Times New Roman" w:hAnsi="Public Sans"/>
        </w:rPr>
        <w:t>s. The slight upward trend, though noticeable, does not indicate concern for continued maintenance of the standards</w:t>
      </w:r>
      <w:r w:rsidR="00DE02E8">
        <w:rPr>
          <w:rFonts w:ascii="Public Sans" w:eastAsia="Times New Roman" w:hAnsi="Public Sans"/>
        </w:rPr>
        <w:t xml:space="preserve">, as </w:t>
      </w:r>
      <w:r w:rsidR="00372581">
        <w:rPr>
          <w:rFonts w:ascii="Public Sans" w:eastAsia="Times New Roman" w:hAnsi="Public Sans"/>
        </w:rPr>
        <w:t>concentrations</w:t>
      </w:r>
      <w:r w:rsidR="00DE02E8">
        <w:rPr>
          <w:rFonts w:ascii="Public Sans" w:eastAsia="Times New Roman" w:hAnsi="Public Sans"/>
        </w:rPr>
        <w:t xml:space="preserve"> are </w:t>
      </w:r>
      <w:r w:rsidR="00DE02E8" w:rsidRPr="00D52B10">
        <w:rPr>
          <w:rFonts w:ascii="Public Sans" w:eastAsia="Times New Roman" w:hAnsi="Public Sans"/>
        </w:rPr>
        <w:t>s</w:t>
      </w:r>
      <w:r w:rsidRPr="00CC2766">
        <w:rPr>
          <w:rFonts w:ascii="Public Sans" w:eastAsia="Times New Roman" w:hAnsi="Public Sans"/>
        </w:rPr>
        <w:t>ufficiently below critical design values and National Ambient Air Quality Standards</w:t>
      </w:r>
      <w:r w:rsidRPr="004D4271">
        <w:rPr>
          <w:rFonts w:ascii="Public Sans" w:eastAsia="Times New Roman" w:hAnsi="Public Sans"/>
        </w:rPr>
        <w:t xml:space="preserve"> </w:t>
      </w:r>
    </w:p>
    <w:p w14:paraId="0EDC7B79" w14:textId="77777777" w:rsidR="00D90CA5" w:rsidRDefault="00D90CA5" w:rsidP="00592327">
      <w:pPr>
        <w:ind w:left="1440"/>
        <w:textAlignment w:val="baseline"/>
        <w:rPr>
          <w:rFonts w:ascii="Public Sans" w:eastAsia="Times New Roman" w:hAnsi="Public Sans"/>
        </w:rPr>
      </w:pPr>
    </w:p>
    <w:p w14:paraId="3B797932" w14:textId="397581E6" w:rsidR="00592327" w:rsidRPr="004D4271" w:rsidRDefault="00BE478D" w:rsidP="00922609">
      <w:pPr>
        <w:ind w:left="720"/>
        <w:textAlignment w:val="baseline"/>
        <w:rPr>
          <w:rFonts w:ascii="Public Sans" w:eastAsia="Times New Roman" w:hAnsi="Public Sans"/>
        </w:rPr>
      </w:pPr>
      <w:r>
        <w:rPr>
          <w:rFonts w:ascii="Public Sans" w:eastAsia="Times New Roman" w:hAnsi="Public Sans"/>
        </w:rPr>
        <w:t xml:space="preserve">As </w:t>
      </w:r>
      <w:r w:rsidR="00592327" w:rsidRPr="004D4271">
        <w:rPr>
          <w:rFonts w:ascii="Public Sans" w:eastAsia="Times New Roman" w:hAnsi="Public Sans"/>
        </w:rPr>
        <w:t xml:space="preserve">preliminary design values </w:t>
      </w:r>
      <w:r>
        <w:rPr>
          <w:rFonts w:ascii="Public Sans" w:eastAsia="Times New Roman" w:hAnsi="Public Sans"/>
        </w:rPr>
        <w:t>are now available from</w:t>
      </w:r>
      <w:r w:rsidR="00592327" w:rsidRPr="004D4271">
        <w:rPr>
          <w:rFonts w:ascii="Public Sans" w:eastAsia="Times New Roman" w:hAnsi="Public Sans"/>
        </w:rPr>
        <w:t xml:space="preserve"> the EPA Air Quality System Preliminary Data Report</w:t>
      </w:r>
      <w:r w:rsidR="00D64CFE">
        <w:rPr>
          <w:rFonts w:ascii="Public Sans" w:eastAsia="Times New Roman" w:hAnsi="Public Sans"/>
        </w:rPr>
        <w:t>,</w:t>
      </w:r>
      <w:r w:rsidR="00592327" w:rsidRPr="004D4271">
        <w:rPr>
          <w:rStyle w:val="FootnoteReference"/>
          <w:rFonts w:ascii="Public Sans" w:eastAsia="Times New Roman" w:hAnsi="Public Sans"/>
        </w:rPr>
        <w:footnoteReference w:id="2"/>
      </w:r>
      <w:r w:rsidR="00B84667">
        <w:rPr>
          <w:rFonts w:ascii="Public Sans" w:eastAsia="Times New Roman" w:hAnsi="Public Sans"/>
        </w:rPr>
        <w:t xml:space="preserve"> </w:t>
      </w:r>
      <w:r>
        <w:rPr>
          <w:rFonts w:ascii="Public Sans" w:eastAsia="Times New Roman" w:hAnsi="Public Sans"/>
        </w:rPr>
        <w:t xml:space="preserve">we have included the 2022 data </w:t>
      </w:r>
      <w:r w:rsidR="00D64CFE">
        <w:rPr>
          <w:rFonts w:ascii="Public Sans" w:eastAsia="Times New Roman" w:hAnsi="Public Sans"/>
        </w:rPr>
        <w:t>in</w:t>
      </w:r>
      <w:r>
        <w:rPr>
          <w:rFonts w:ascii="Public Sans" w:eastAsia="Times New Roman" w:hAnsi="Public Sans"/>
        </w:rPr>
        <w:t xml:space="preserve"> our trends. T</w:t>
      </w:r>
      <w:r w:rsidR="00D64CFE">
        <w:rPr>
          <w:rFonts w:ascii="Public Sans" w:eastAsia="Times New Roman" w:hAnsi="Public Sans"/>
        </w:rPr>
        <w:t>he 2022 data does not indicate</w:t>
      </w:r>
      <w:r>
        <w:rPr>
          <w:rFonts w:ascii="Public Sans" w:eastAsia="Times New Roman" w:hAnsi="Public Sans"/>
        </w:rPr>
        <w:t xml:space="preserve"> concern for generally increasing trends.</w:t>
      </w:r>
      <w:r w:rsidR="00D12BBA">
        <w:rPr>
          <w:rFonts w:ascii="Public Sans" w:eastAsia="Times New Roman" w:hAnsi="Public Sans"/>
        </w:rPr>
        <w:t xml:space="preserve">  Updated charts,</w:t>
      </w:r>
      <w:r w:rsidR="009F5D7B">
        <w:rPr>
          <w:rFonts w:ascii="Public Sans" w:eastAsia="Times New Roman" w:hAnsi="Public Sans"/>
        </w:rPr>
        <w:t xml:space="preserve"> included </w:t>
      </w:r>
      <w:r w:rsidR="00D12BBA">
        <w:rPr>
          <w:rFonts w:ascii="Public Sans" w:eastAsia="Times New Roman" w:hAnsi="Public Sans"/>
        </w:rPr>
        <w:t xml:space="preserve">on page 11 of </w:t>
      </w:r>
      <w:r w:rsidR="009F5D7B">
        <w:rPr>
          <w:rFonts w:ascii="Public Sans" w:eastAsia="Times New Roman" w:hAnsi="Public Sans"/>
        </w:rPr>
        <w:t>the revised SIP</w:t>
      </w:r>
      <w:r w:rsidR="00D12BBA">
        <w:rPr>
          <w:rFonts w:ascii="Public Sans" w:eastAsia="Times New Roman" w:hAnsi="Public Sans"/>
        </w:rPr>
        <w:t xml:space="preserve">, </w:t>
      </w:r>
      <w:proofErr w:type="gramStart"/>
      <w:r w:rsidR="00D12BBA">
        <w:rPr>
          <w:rFonts w:ascii="Public Sans" w:eastAsia="Times New Roman" w:hAnsi="Public Sans"/>
        </w:rPr>
        <w:t>are shown</w:t>
      </w:r>
      <w:proofErr w:type="gramEnd"/>
      <w:r w:rsidR="00D12BBA">
        <w:rPr>
          <w:rFonts w:ascii="Public Sans" w:eastAsia="Times New Roman" w:hAnsi="Public Sans"/>
        </w:rPr>
        <w:t xml:space="preserve"> following the next comment</w:t>
      </w:r>
      <w:r w:rsidR="009F5D7B">
        <w:rPr>
          <w:rFonts w:ascii="Public Sans" w:eastAsia="Times New Roman" w:hAnsi="Public Sans"/>
        </w:rPr>
        <w:t>.</w:t>
      </w:r>
      <w:r w:rsidR="00592327" w:rsidRPr="004D4271">
        <w:rPr>
          <w:rFonts w:ascii="Public Sans" w:eastAsia="Times New Roman" w:hAnsi="Public Sans"/>
        </w:rPr>
        <w:t xml:space="preserve"> </w:t>
      </w:r>
    </w:p>
    <w:p w14:paraId="3E2B3B65" w14:textId="44E17CCC" w:rsidR="00592327" w:rsidRPr="004D4271" w:rsidRDefault="00592327" w:rsidP="00592327">
      <w:pPr>
        <w:ind w:left="720"/>
        <w:textAlignment w:val="baseline"/>
        <w:rPr>
          <w:rFonts w:ascii="Public Sans" w:eastAsia="Times New Roman" w:hAnsi="Public Sans"/>
        </w:rPr>
      </w:pPr>
    </w:p>
    <w:p w14:paraId="70A3DFCC" w14:textId="77777777" w:rsidR="00592327" w:rsidRPr="004D4271" w:rsidRDefault="00592327" w:rsidP="00592327">
      <w:pPr>
        <w:textAlignment w:val="baseline"/>
        <w:rPr>
          <w:rFonts w:ascii="Public Sans" w:eastAsia="Times New Roman" w:hAnsi="Public Sans"/>
          <w:b/>
          <w:bCs/>
        </w:rPr>
      </w:pPr>
    </w:p>
    <w:p w14:paraId="59CD8FEA" w14:textId="77777777" w:rsidR="00592327" w:rsidRPr="004D4271" w:rsidRDefault="00592327" w:rsidP="00592327">
      <w:pPr>
        <w:textAlignment w:val="baseline"/>
        <w:rPr>
          <w:rFonts w:ascii="Public Sans" w:eastAsia="Times New Roman" w:hAnsi="Public Sans"/>
        </w:rPr>
      </w:pPr>
      <w:r w:rsidRPr="004D4271">
        <w:rPr>
          <w:rFonts w:ascii="Public Sans" w:eastAsia="Times New Roman" w:hAnsi="Public Sans"/>
          <w:b/>
          <w:bCs/>
        </w:rPr>
        <w:t>Comment:</w:t>
      </w:r>
      <w:r w:rsidRPr="004D4271">
        <w:rPr>
          <w:rFonts w:ascii="Public Sans" w:eastAsia="Times New Roman" w:hAnsi="Public Sans"/>
        </w:rPr>
        <w:t xml:space="preserve"> The Plan’s monitor and design value graphs are missing data for the Waterbury monitor for 2018. It would be useful for the public for Connecticut DEEP to include an explanation for why there is no data for this year for this monitor.</w:t>
      </w:r>
      <w:r w:rsidRPr="004D4271">
        <w:rPr>
          <w:rFonts w:ascii="Public Sans" w:eastAsia="Times New Roman" w:hAnsi="Public Sans"/>
          <w:noProof/>
        </w:rPr>
        <w:t xml:space="preserve"> </w:t>
      </w:r>
    </w:p>
    <w:p w14:paraId="3E16F91F" w14:textId="77777777" w:rsidR="00592327" w:rsidRPr="004D4271" w:rsidRDefault="00592327" w:rsidP="00592327">
      <w:pPr>
        <w:textAlignment w:val="baseline"/>
        <w:rPr>
          <w:rFonts w:ascii="Public Sans" w:eastAsia="Times New Roman" w:hAnsi="Public Sans" w:cs="Segoe UI"/>
          <w:sz w:val="18"/>
          <w:szCs w:val="18"/>
        </w:rPr>
      </w:pPr>
    </w:p>
    <w:p w14:paraId="125FF06F" w14:textId="634B44E5" w:rsidR="001B0B26" w:rsidRDefault="00592327" w:rsidP="005A4A2F">
      <w:pPr>
        <w:ind w:left="720"/>
        <w:textAlignment w:val="baseline"/>
        <w:rPr>
          <w:rFonts w:ascii="Public Sans" w:eastAsia="Times New Roman" w:hAnsi="Public Sans"/>
        </w:rPr>
      </w:pPr>
      <w:r w:rsidRPr="004D4271">
        <w:rPr>
          <w:rFonts w:ascii="Public Sans" w:eastAsia="Times New Roman" w:hAnsi="Public Sans"/>
          <w:b/>
          <w:bCs/>
        </w:rPr>
        <w:t>Response:</w:t>
      </w:r>
      <w:r w:rsidRPr="004D4271">
        <w:rPr>
          <w:rFonts w:ascii="Public Sans" w:eastAsia="Times New Roman" w:hAnsi="Public Sans"/>
        </w:rPr>
        <w:t xml:space="preserve"> </w:t>
      </w:r>
      <w:r w:rsidR="001B0B26">
        <w:rPr>
          <w:rFonts w:ascii="Public Sans" w:eastAsia="Times New Roman" w:hAnsi="Public Sans"/>
        </w:rPr>
        <w:t xml:space="preserve">The </w:t>
      </w:r>
      <w:r w:rsidRPr="004D4271">
        <w:rPr>
          <w:rFonts w:ascii="Public Sans" w:eastAsia="Times New Roman" w:hAnsi="Public Sans"/>
        </w:rPr>
        <w:t xml:space="preserve">Waterbury </w:t>
      </w:r>
      <w:r w:rsidR="001B0B26">
        <w:rPr>
          <w:rFonts w:ascii="Public Sans" w:eastAsia="Times New Roman" w:hAnsi="Public Sans"/>
        </w:rPr>
        <w:t xml:space="preserve">site </w:t>
      </w:r>
      <w:r w:rsidRPr="004D4271">
        <w:rPr>
          <w:rFonts w:ascii="Public Sans" w:eastAsia="Times New Roman" w:hAnsi="Public Sans"/>
        </w:rPr>
        <w:t xml:space="preserve">was </w:t>
      </w:r>
      <w:r w:rsidR="001B0B26">
        <w:rPr>
          <w:rFonts w:ascii="Public Sans" w:eastAsia="Times New Roman" w:hAnsi="Public Sans"/>
        </w:rPr>
        <w:t xml:space="preserve">undergoing reconstruction </w:t>
      </w:r>
      <w:r w:rsidRPr="004D4271">
        <w:rPr>
          <w:rFonts w:ascii="Public Sans" w:eastAsia="Times New Roman" w:hAnsi="Public Sans"/>
        </w:rPr>
        <w:t>from Ap</w:t>
      </w:r>
      <w:r w:rsidR="00D12BBA">
        <w:rPr>
          <w:rFonts w:ascii="Public Sans" w:eastAsia="Times New Roman" w:hAnsi="Public Sans"/>
        </w:rPr>
        <w:t>ril 15, 2016</w:t>
      </w:r>
      <w:r w:rsidRPr="004D4271">
        <w:rPr>
          <w:rFonts w:ascii="Public Sans" w:eastAsia="Times New Roman" w:hAnsi="Public Sans"/>
        </w:rPr>
        <w:t xml:space="preserve"> t</w:t>
      </w:r>
      <w:r w:rsidR="00D12BBA">
        <w:rPr>
          <w:rFonts w:ascii="Public Sans" w:eastAsia="Times New Roman" w:hAnsi="Public Sans"/>
        </w:rPr>
        <w:t>hrough</w:t>
      </w:r>
      <w:r w:rsidRPr="004D4271">
        <w:rPr>
          <w:rFonts w:ascii="Public Sans" w:eastAsia="Times New Roman" w:hAnsi="Public Sans"/>
        </w:rPr>
        <w:t xml:space="preserve"> July 29, 2016</w:t>
      </w:r>
      <w:r w:rsidR="001B0B26" w:rsidRPr="001B0B26">
        <w:rPr>
          <w:rFonts w:ascii="Public Sans" w:eastAsia="Times New Roman" w:hAnsi="Public Sans"/>
        </w:rPr>
        <w:t xml:space="preserve"> </w:t>
      </w:r>
      <w:r w:rsidR="001B0B26">
        <w:rPr>
          <w:rFonts w:ascii="Public Sans" w:eastAsia="Times New Roman" w:hAnsi="Public Sans"/>
        </w:rPr>
        <w:t xml:space="preserve">and could </w:t>
      </w:r>
      <w:r w:rsidR="001B0B26" w:rsidRPr="004D4271">
        <w:rPr>
          <w:rFonts w:ascii="Public Sans" w:eastAsia="Times New Roman" w:hAnsi="Public Sans"/>
        </w:rPr>
        <w:t>not collect data during th</w:t>
      </w:r>
      <w:r w:rsidR="00E65789">
        <w:rPr>
          <w:rFonts w:ascii="Public Sans" w:eastAsia="Times New Roman" w:hAnsi="Public Sans"/>
        </w:rPr>
        <w:t>at</w:t>
      </w:r>
      <w:r w:rsidR="001B0B26" w:rsidRPr="004D4271">
        <w:rPr>
          <w:rFonts w:ascii="Public Sans" w:eastAsia="Times New Roman" w:hAnsi="Public Sans"/>
        </w:rPr>
        <w:t xml:space="preserve"> time</w:t>
      </w:r>
      <w:r w:rsidR="001B0B26">
        <w:rPr>
          <w:rFonts w:ascii="Public Sans" w:eastAsia="Times New Roman" w:hAnsi="Public Sans"/>
        </w:rPr>
        <w:t>.</w:t>
      </w:r>
      <w:r w:rsidRPr="004D4271">
        <w:rPr>
          <w:rFonts w:ascii="Public Sans" w:eastAsia="Times New Roman" w:hAnsi="Public Sans"/>
        </w:rPr>
        <w:t xml:space="preserve"> This resulted in incomplete </w:t>
      </w:r>
      <w:r w:rsidR="001B0B26" w:rsidRPr="004D4271">
        <w:rPr>
          <w:rFonts w:ascii="Public Sans" w:eastAsia="Times New Roman" w:hAnsi="Public Sans"/>
        </w:rPr>
        <w:t xml:space="preserve">data </w:t>
      </w:r>
      <w:r w:rsidRPr="004D4271">
        <w:rPr>
          <w:rFonts w:ascii="Public Sans" w:eastAsia="Times New Roman" w:hAnsi="Public Sans"/>
        </w:rPr>
        <w:t xml:space="preserve">for </w:t>
      </w:r>
      <w:r w:rsidR="001B0B26">
        <w:rPr>
          <w:rFonts w:ascii="Public Sans" w:eastAsia="Times New Roman" w:hAnsi="Public Sans"/>
        </w:rPr>
        <w:t>2016</w:t>
      </w:r>
      <w:r w:rsidRPr="004D4271">
        <w:rPr>
          <w:rFonts w:ascii="Public Sans" w:eastAsia="Times New Roman" w:hAnsi="Public Sans"/>
        </w:rPr>
        <w:t>, which affected both 24-h</w:t>
      </w:r>
      <w:r w:rsidR="001B0B26">
        <w:rPr>
          <w:rFonts w:ascii="Public Sans" w:eastAsia="Times New Roman" w:hAnsi="Public Sans"/>
        </w:rPr>
        <w:t>ou</w:t>
      </w:r>
      <w:r w:rsidRPr="004D4271">
        <w:rPr>
          <w:rFonts w:ascii="Public Sans" w:eastAsia="Times New Roman" w:hAnsi="Public Sans"/>
        </w:rPr>
        <w:t xml:space="preserve">r and annual design values for 2016-2018. </w:t>
      </w:r>
      <w:r w:rsidR="001B0B26">
        <w:rPr>
          <w:rFonts w:ascii="Public Sans" w:eastAsia="Times New Roman" w:hAnsi="Public Sans"/>
        </w:rPr>
        <w:t>To clarify this point, l</w:t>
      </w:r>
      <w:r w:rsidRPr="004D4271">
        <w:rPr>
          <w:rFonts w:ascii="Public Sans" w:eastAsia="Times New Roman" w:hAnsi="Public Sans"/>
        </w:rPr>
        <w:t xml:space="preserve">anguage was changed </w:t>
      </w:r>
      <w:r w:rsidR="00C041D7">
        <w:rPr>
          <w:rFonts w:ascii="Public Sans" w:eastAsia="Times New Roman" w:hAnsi="Public Sans"/>
        </w:rPr>
        <w:t>on</w:t>
      </w:r>
      <w:r w:rsidRPr="004D4271">
        <w:rPr>
          <w:rFonts w:ascii="Public Sans" w:eastAsia="Times New Roman" w:hAnsi="Public Sans"/>
        </w:rPr>
        <w:t xml:space="preserve"> page 14 from “Five years of design values (seven years of data) were used for three of the four Connecticut monitors and three years of design values (5 years of data) were used for the Waterbury monitor” </w:t>
      </w:r>
      <w:r w:rsidR="00E65789">
        <w:rPr>
          <w:rFonts w:ascii="Public Sans" w:eastAsia="Times New Roman" w:hAnsi="Public Sans"/>
        </w:rPr>
        <w:t xml:space="preserve">in the proposal, </w:t>
      </w:r>
      <w:r w:rsidRPr="004D4271">
        <w:rPr>
          <w:rFonts w:ascii="Public Sans" w:eastAsia="Times New Roman" w:hAnsi="Public Sans"/>
        </w:rPr>
        <w:t>to “Five years of design values (seven years of data) were used for three of the four Connecticut monitors. Three years of design values (5 years of data) were used for the Waterbury monitor due to site re</w:t>
      </w:r>
      <w:r w:rsidR="001B0B26">
        <w:rPr>
          <w:rFonts w:ascii="Public Sans" w:eastAsia="Times New Roman" w:hAnsi="Public Sans"/>
        </w:rPr>
        <w:t>construction</w:t>
      </w:r>
      <w:r w:rsidRPr="004D4271">
        <w:rPr>
          <w:rFonts w:ascii="Public Sans" w:eastAsia="Times New Roman" w:hAnsi="Public Sans"/>
        </w:rPr>
        <w:t xml:space="preserve"> </w:t>
      </w:r>
      <w:r w:rsidR="00C041D7">
        <w:rPr>
          <w:rFonts w:ascii="Public Sans" w:eastAsia="Times New Roman" w:hAnsi="Public Sans"/>
        </w:rPr>
        <w:t xml:space="preserve">activities </w:t>
      </w:r>
      <w:r w:rsidRPr="004D4271">
        <w:rPr>
          <w:rFonts w:ascii="Public Sans" w:eastAsia="Times New Roman" w:hAnsi="Public Sans"/>
        </w:rPr>
        <w:t>resulting in incomplete</w:t>
      </w:r>
      <w:r w:rsidR="001B0B26">
        <w:rPr>
          <w:rFonts w:ascii="Public Sans" w:eastAsia="Times New Roman" w:hAnsi="Public Sans"/>
        </w:rPr>
        <w:t xml:space="preserve"> data for 2016</w:t>
      </w:r>
      <w:r w:rsidR="00C041D7">
        <w:rPr>
          <w:rFonts w:ascii="Public Sans" w:eastAsia="Times New Roman" w:hAnsi="Public Sans"/>
        </w:rPr>
        <w:t xml:space="preserve"> and</w:t>
      </w:r>
      <w:r w:rsidR="001B0B26">
        <w:rPr>
          <w:rFonts w:ascii="Public Sans" w:eastAsia="Times New Roman" w:hAnsi="Public Sans"/>
        </w:rPr>
        <w:t xml:space="preserve"> </w:t>
      </w:r>
      <w:r w:rsidR="00E65789">
        <w:rPr>
          <w:rFonts w:ascii="Public Sans" w:eastAsia="Times New Roman" w:hAnsi="Public Sans"/>
        </w:rPr>
        <w:t>invalidating</w:t>
      </w:r>
      <w:r w:rsidR="001B0B26">
        <w:rPr>
          <w:rFonts w:ascii="Public Sans" w:eastAsia="Times New Roman" w:hAnsi="Public Sans"/>
        </w:rPr>
        <w:t xml:space="preserve"> design values for 2016-2018</w:t>
      </w:r>
      <w:r w:rsidRPr="004D4271">
        <w:rPr>
          <w:rFonts w:ascii="Public Sans" w:eastAsia="Times New Roman" w:hAnsi="Public Sans"/>
        </w:rPr>
        <w:t xml:space="preserve">”. </w:t>
      </w:r>
    </w:p>
    <w:p w14:paraId="05978175" w14:textId="77777777" w:rsidR="001B0B26" w:rsidRDefault="001B0B26" w:rsidP="005A4A2F">
      <w:pPr>
        <w:ind w:left="720"/>
        <w:textAlignment w:val="baseline"/>
        <w:rPr>
          <w:rFonts w:ascii="Public Sans" w:eastAsia="Times New Roman" w:hAnsi="Public Sans"/>
        </w:rPr>
      </w:pPr>
    </w:p>
    <w:p w14:paraId="204E22A6" w14:textId="2AA193A2" w:rsidR="002A4DE2" w:rsidRDefault="00592327" w:rsidP="005A4A2F">
      <w:pPr>
        <w:ind w:left="720"/>
        <w:textAlignment w:val="baseline"/>
        <w:rPr>
          <w:rFonts w:ascii="Public Sans" w:eastAsia="Times New Roman" w:hAnsi="Public Sans"/>
          <w:color w:val="000000" w:themeColor="text1"/>
        </w:rPr>
      </w:pPr>
      <w:r w:rsidRPr="004D4271">
        <w:rPr>
          <w:rFonts w:ascii="Public Sans" w:eastAsia="Times New Roman" w:hAnsi="Public Sans"/>
        </w:rPr>
        <w:t xml:space="preserve">While reviewing this comment, it was recognized that </w:t>
      </w:r>
      <w:r w:rsidR="00E65789">
        <w:rPr>
          <w:rFonts w:ascii="Public Sans" w:eastAsia="Times New Roman" w:hAnsi="Public Sans"/>
        </w:rPr>
        <w:t xml:space="preserve">the proposed SIP included </w:t>
      </w:r>
      <w:r w:rsidRPr="004D4271">
        <w:rPr>
          <w:rFonts w:ascii="Public Sans" w:eastAsia="Times New Roman" w:hAnsi="Public Sans"/>
          <w:color w:val="000000" w:themeColor="text1"/>
        </w:rPr>
        <w:t xml:space="preserve">invalid </w:t>
      </w:r>
      <w:r w:rsidR="00E65789">
        <w:rPr>
          <w:rFonts w:ascii="Public Sans" w:eastAsia="Times New Roman" w:hAnsi="Public Sans"/>
          <w:color w:val="000000" w:themeColor="text1"/>
        </w:rPr>
        <w:t xml:space="preserve">Waterbury </w:t>
      </w:r>
      <w:r w:rsidRPr="004D4271">
        <w:rPr>
          <w:rFonts w:ascii="Public Sans" w:eastAsia="Times New Roman" w:hAnsi="Public Sans"/>
          <w:color w:val="000000" w:themeColor="text1"/>
        </w:rPr>
        <w:t>d</w:t>
      </w:r>
      <w:r w:rsidR="00C041D7">
        <w:rPr>
          <w:rFonts w:ascii="Public Sans" w:eastAsia="Times New Roman" w:hAnsi="Public Sans"/>
          <w:color w:val="000000" w:themeColor="text1"/>
        </w:rPr>
        <w:t>esign values</w:t>
      </w:r>
      <w:r w:rsidR="002756B6">
        <w:rPr>
          <w:rFonts w:ascii="Public Sans" w:eastAsia="Times New Roman" w:hAnsi="Public Sans"/>
          <w:color w:val="000000" w:themeColor="text1"/>
        </w:rPr>
        <w:t xml:space="preserve"> for 2016 and 2017</w:t>
      </w:r>
      <w:r w:rsidRPr="004D4271">
        <w:rPr>
          <w:rFonts w:ascii="Public Sans" w:eastAsia="Times New Roman" w:hAnsi="Public Sans"/>
          <w:color w:val="000000" w:themeColor="text1"/>
        </w:rPr>
        <w:t xml:space="preserve"> </w:t>
      </w:r>
      <w:r w:rsidR="00E65789">
        <w:rPr>
          <w:rFonts w:ascii="Public Sans" w:eastAsia="Times New Roman" w:hAnsi="Public Sans"/>
          <w:color w:val="000000" w:themeColor="text1"/>
        </w:rPr>
        <w:t xml:space="preserve">in Figure 2-1 showing the 24-hour </w:t>
      </w:r>
      <w:proofErr w:type="gramStart"/>
      <w:r w:rsidR="002756B6" w:rsidRPr="004D4271">
        <w:rPr>
          <w:rFonts w:ascii="Public Sans" w:eastAsia="Times New Roman" w:hAnsi="Public Sans"/>
          <w:color w:val="000000" w:themeColor="text1"/>
        </w:rPr>
        <w:t>PM</w:t>
      </w:r>
      <w:r w:rsidR="002756B6" w:rsidRPr="004D4271">
        <w:rPr>
          <w:rFonts w:ascii="Public Sans" w:eastAsia="Times New Roman" w:hAnsi="Public Sans"/>
          <w:color w:val="000000" w:themeColor="text1"/>
          <w:vertAlign w:val="subscript"/>
        </w:rPr>
        <w:t xml:space="preserve">2.5 </w:t>
      </w:r>
      <w:r w:rsidR="002756B6">
        <w:rPr>
          <w:rFonts w:ascii="Public Sans" w:eastAsia="Times New Roman" w:hAnsi="Public Sans"/>
          <w:color w:val="000000" w:themeColor="text1"/>
        </w:rPr>
        <w:t xml:space="preserve"> d</w:t>
      </w:r>
      <w:r w:rsidR="00E65789">
        <w:rPr>
          <w:rFonts w:ascii="Public Sans" w:eastAsia="Times New Roman" w:hAnsi="Public Sans"/>
          <w:color w:val="000000" w:themeColor="text1"/>
        </w:rPr>
        <w:t>esign</w:t>
      </w:r>
      <w:proofErr w:type="gramEnd"/>
      <w:r w:rsidR="00E65789">
        <w:rPr>
          <w:rFonts w:ascii="Public Sans" w:eastAsia="Times New Roman" w:hAnsi="Public Sans"/>
          <w:color w:val="000000" w:themeColor="text1"/>
        </w:rPr>
        <w:t xml:space="preserve"> value trends. </w:t>
      </w:r>
      <w:r w:rsidR="002756B6">
        <w:rPr>
          <w:rFonts w:ascii="Public Sans" w:eastAsia="Times New Roman" w:hAnsi="Public Sans"/>
          <w:color w:val="000000" w:themeColor="text1"/>
        </w:rPr>
        <w:t>Figure 2-1,</w:t>
      </w:r>
      <w:r w:rsidRPr="004D4271">
        <w:rPr>
          <w:rFonts w:ascii="Public Sans" w:eastAsia="Times New Roman" w:hAnsi="Public Sans"/>
          <w:color w:val="000000" w:themeColor="text1"/>
        </w:rPr>
        <w:t xml:space="preserve"> on page 11, has been corrected to reflect only valid design values </w:t>
      </w:r>
      <w:r w:rsidR="002756B6">
        <w:rPr>
          <w:rFonts w:ascii="Public Sans" w:eastAsia="Times New Roman" w:hAnsi="Public Sans"/>
          <w:color w:val="000000" w:themeColor="text1"/>
        </w:rPr>
        <w:t>and thus omits design values from 2016 to 2018 consistent with Figure 2-2 for annual design values</w:t>
      </w:r>
      <w:r w:rsidR="00C041D7">
        <w:rPr>
          <w:rFonts w:ascii="Public Sans" w:eastAsia="Times New Roman" w:hAnsi="Public Sans"/>
          <w:color w:val="000000" w:themeColor="text1"/>
        </w:rPr>
        <w:t>.</w:t>
      </w:r>
      <w:r w:rsidRPr="004D4271">
        <w:rPr>
          <w:rStyle w:val="FootnoteReference"/>
          <w:rFonts w:ascii="Public Sans" w:eastAsia="Times New Roman" w:hAnsi="Public Sans"/>
          <w:color w:val="000000" w:themeColor="text1"/>
        </w:rPr>
        <w:footnoteReference w:id="3"/>
      </w:r>
      <w:r w:rsidRPr="004D4271">
        <w:rPr>
          <w:rFonts w:ascii="Public Sans" w:eastAsia="Times New Roman" w:hAnsi="Public Sans"/>
          <w:color w:val="000000" w:themeColor="text1"/>
        </w:rPr>
        <w:t xml:space="preserve"> </w:t>
      </w:r>
    </w:p>
    <w:p w14:paraId="7093F62B" w14:textId="77777777" w:rsidR="002A4DE2" w:rsidRDefault="002A4DE2" w:rsidP="005A4A2F">
      <w:pPr>
        <w:ind w:left="720"/>
        <w:textAlignment w:val="baseline"/>
        <w:rPr>
          <w:rFonts w:ascii="Public Sans" w:eastAsia="Times New Roman" w:hAnsi="Public Sans"/>
          <w:color w:val="000000" w:themeColor="text1"/>
        </w:rPr>
      </w:pPr>
    </w:p>
    <w:p w14:paraId="7757D4D7" w14:textId="154AB8BC" w:rsidR="002A4DE2" w:rsidRDefault="002A4DE2" w:rsidP="005A4A2F">
      <w:pPr>
        <w:ind w:left="720"/>
        <w:textAlignment w:val="baseline"/>
        <w:rPr>
          <w:rFonts w:ascii="Public Sans" w:eastAsia="Times New Roman" w:hAnsi="Public Sans"/>
          <w:color w:val="000000" w:themeColor="text1"/>
        </w:rPr>
      </w:pPr>
      <w:r>
        <w:rPr>
          <w:rFonts w:ascii="Public Sans" w:eastAsia="Times New Roman" w:hAnsi="Public Sans"/>
          <w:color w:val="000000" w:themeColor="text1"/>
        </w:rPr>
        <w:t>The critical design values for Waterbury were calculated without use of the invalid d</w:t>
      </w:r>
      <w:r w:rsidR="00C041D7">
        <w:rPr>
          <w:rFonts w:ascii="Public Sans" w:eastAsia="Times New Roman" w:hAnsi="Public Sans"/>
          <w:color w:val="000000" w:themeColor="text1"/>
        </w:rPr>
        <w:t>esign values</w:t>
      </w:r>
      <w:r>
        <w:rPr>
          <w:rFonts w:ascii="Public Sans" w:eastAsia="Times New Roman" w:hAnsi="Public Sans"/>
          <w:color w:val="000000" w:themeColor="text1"/>
        </w:rPr>
        <w:t xml:space="preserve"> and no changes to critical design values result from these changes to the </w:t>
      </w:r>
      <w:r w:rsidR="002D0898">
        <w:rPr>
          <w:rFonts w:ascii="Public Sans" w:eastAsia="Times New Roman" w:hAnsi="Public Sans"/>
          <w:color w:val="000000" w:themeColor="text1"/>
        </w:rPr>
        <w:t>f</w:t>
      </w:r>
      <w:r>
        <w:rPr>
          <w:rFonts w:ascii="Public Sans" w:eastAsia="Times New Roman" w:hAnsi="Public Sans"/>
          <w:color w:val="000000" w:themeColor="text1"/>
        </w:rPr>
        <w:t>igures.</w:t>
      </w:r>
    </w:p>
    <w:p w14:paraId="7F8D3ACE" w14:textId="77777777" w:rsidR="002A4DE2" w:rsidRDefault="002A4DE2" w:rsidP="005A4A2F">
      <w:pPr>
        <w:ind w:left="720"/>
        <w:textAlignment w:val="baseline"/>
        <w:rPr>
          <w:rFonts w:ascii="Public Sans" w:eastAsia="Times New Roman" w:hAnsi="Public Sans"/>
          <w:color w:val="000000" w:themeColor="text1"/>
        </w:rPr>
      </w:pPr>
    </w:p>
    <w:p w14:paraId="6815F708" w14:textId="21653BF8" w:rsidR="002A4DE2" w:rsidRDefault="002A4DE2" w:rsidP="005A4A2F">
      <w:pPr>
        <w:ind w:left="720"/>
        <w:textAlignment w:val="baseline"/>
        <w:rPr>
          <w:rFonts w:ascii="Public Sans" w:eastAsia="Times New Roman" w:hAnsi="Public Sans"/>
          <w:color w:val="000000" w:themeColor="text1"/>
        </w:rPr>
      </w:pPr>
      <w:r>
        <w:rPr>
          <w:rFonts w:ascii="Public Sans" w:eastAsia="Times New Roman" w:hAnsi="Public Sans"/>
          <w:color w:val="000000" w:themeColor="text1"/>
        </w:rPr>
        <w:lastRenderedPageBreak/>
        <w:t xml:space="preserve">The changes to the design value trends in </w:t>
      </w:r>
      <w:r w:rsidR="002D0898">
        <w:rPr>
          <w:rFonts w:ascii="Public Sans" w:eastAsia="Times New Roman" w:hAnsi="Public Sans"/>
          <w:color w:val="000000" w:themeColor="text1"/>
        </w:rPr>
        <w:t>F</w:t>
      </w:r>
      <w:r>
        <w:rPr>
          <w:rFonts w:ascii="Public Sans" w:eastAsia="Times New Roman" w:hAnsi="Public Sans"/>
          <w:color w:val="000000" w:themeColor="text1"/>
        </w:rPr>
        <w:t>igures 2-1 and 2-2 resulting from the above comments are shown below.</w:t>
      </w:r>
    </w:p>
    <w:p w14:paraId="2DB2D409" w14:textId="77777777" w:rsidR="00592327" w:rsidRPr="005A4A2F" w:rsidRDefault="00592327" w:rsidP="005A4A2F">
      <w:pPr>
        <w:ind w:left="720"/>
        <w:textAlignment w:val="baseline"/>
        <w:rPr>
          <w:rFonts w:ascii="Public Sans" w:eastAsia="Times New Roman" w:hAnsi="Public Sans"/>
          <w:color w:val="000000" w:themeColor="text1"/>
        </w:rPr>
      </w:pPr>
    </w:p>
    <w:p w14:paraId="55EAF12E" w14:textId="064A8EE0" w:rsidR="00633779" w:rsidRPr="00922609" w:rsidRDefault="001F18A0" w:rsidP="002E449E">
      <w:pPr>
        <w:ind w:left="720"/>
        <w:textAlignment w:val="baseline"/>
        <w:rPr>
          <w:rFonts w:ascii="Public Sans" w:hAnsi="Public Sans"/>
          <w:noProof/>
        </w:rPr>
      </w:pPr>
      <w:r w:rsidRPr="00922609">
        <w:rPr>
          <w:rFonts w:ascii="Public Sans" w:hAnsi="Public Sans"/>
          <w:noProof/>
        </w:rPr>
        <w:drawing>
          <wp:anchor distT="0" distB="0" distL="114300" distR="114300" simplePos="0" relativeHeight="251667456" behindDoc="0" locked="0" layoutInCell="1" allowOverlap="1" wp14:anchorId="4B22E62B" wp14:editId="14E4D591">
            <wp:simplePos x="0" y="0"/>
            <wp:positionH relativeFrom="margin">
              <wp:posOffset>-407338</wp:posOffset>
            </wp:positionH>
            <wp:positionV relativeFrom="paragraph">
              <wp:posOffset>1249818</wp:posOffset>
            </wp:positionV>
            <wp:extent cx="6694805" cy="2101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94805" cy="2101850"/>
                    </a:xfrm>
                    <a:prstGeom prst="rect">
                      <a:avLst/>
                    </a:prstGeom>
                  </pic:spPr>
                </pic:pic>
              </a:graphicData>
            </a:graphic>
            <wp14:sizeRelH relativeFrom="margin">
              <wp14:pctWidth>0</wp14:pctWidth>
            </wp14:sizeRelH>
            <wp14:sizeRelV relativeFrom="margin">
              <wp14:pctHeight>0</wp14:pctHeight>
            </wp14:sizeRelV>
          </wp:anchor>
        </w:drawing>
      </w:r>
      <w:r w:rsidR="002D0898" w:rsidRPr="00922609">
        <w:rPr>
          <w:rFonts w:ascii="Public Sans" w:hAnsi="Public Sans"/>
          <w:noProof/>
        </w:rPr>
        <w:t>As result of comments received, the figures on</w:t>
      </w:r>
      <w:r w:rsidR="00F44DB0" w:rsidRPr="00922609">
        <w:rPr>
          <w:rFonts w:ascii="Public Sans" w:hAnsi="Public Sans"/>
          <w:noProof/>
        </w:rPr>
        <w:t xml:space="preserve"> page 11 of </w:t>
      </w:r>
      <w:r w:rsidR="002D0898" w:rsidRPr="00922609">
        <w:rPr>
          <w:rFonts w:ascii="Public Sans" w:hAnsi="Public Sans"/>
          <w:noProof/>
        </w:rPr>
        <w:t xml:space="preserve">the </w:t>
      </w:r>
      <w:r w:rsidR="0084210D">
        <w:rPr>
          <w:rFonts w:ascii="Public Sans" w:hAnsi="Public Sans"/>
          <w:noProof/>
        </w:rPr>
        <w:t>of the</w:t>
      </w:r>
      <w:r w:rsidR="00F44DB0" w:rsidRPr="00922609">
        <w:rPr>
          <w:rFonts w:ascii="Public Sans" w:hAnsi="Public Sans"/>
          <w:noProof/>
        </w:rPr>
        <w:t xml:space="preserve"> SIP </w:t>
      </w:r>
      <w:r w:rsidR="0084210D">
        <w:rPr>
          <w:rFonts w:ascii="Public Sans" w:hAnsi="Public Sans"/>
          <w:noProof/>
        </w:rPr>
        <w:t xml:space="preserve">as proposed for hearing </w:t>
      </w:r>
      <w:r w:rsidR="002D0898" w:rsidRPr="00922609">
        <w:rPr>
          <w:rFonts w:ascii="Public Sans" w:hAnsi="Public Sans"/>
          <w:noProof/>
        </w:rPr>
        <w:t>(shown below) which</w:t>
      </w:r>
      <w:r w:rsidR="00F44DB0" w:rsidRPr="00922609">
        <w:rPr>
          <w:rFonts w:ascii="Public Sans" w:hAnsi="Public Sans"/>
          <w:noProof/>
        </w:rPr>
        <w:t xml:space="preserve"> </w:t>
      </w:r>
      <w:r w:rsidR="002D0898" w:rsidRPr="00922609">
        <w:rPr>
          <w:rFonts w:ascii="Public Sans" w:hAnsi="Public Sans"/>
          <w:noProof/>
        </w:rPr>
        <w:t>included insufficient data have been removed and replaced as described herein.</w:t>
      </w:r>
      <w:r w:rsidR="00F44DB0" w:rsidRPr="00922609">
        <w:rPr>
          <w:rFonts w:ascii="Public Sans" w:hAnsi="Public Sans"/>
          <w:noProof/>
        </w:rPr>
        <w:t xml:space="preserve"> </w:t>
      </w:r>
    </w:p>
    <w:p w14:paraId="3133566A" w14:textId="77777777" w:rsidR="00BE552C" w:rsidRDefault="00C01F5E" w:rsidP="001F18A0">
      <w:pPr>
        <w:textAlignment w:val="baseline"/>
      </w:pPr>
      <w:r w:rsidRPr="001F18A0">
        <w:rPr>
          <w:rFonts w:ascii="Public Sans" w:hAnsi="Public Sans"/>
          <w:b/>
          <w:i/>
          <w:noProof/>
          <w:color w:val="4472C4" w:themeColor="accent1"/>
        </w:rPr>
        <mc:AlternateContent>
          <mc:Choice Requires="wps">
            <w:drawing>
              <wp:anchor distT="45720" distB="45720" distL="114300" distR="114300" simplePos="0" relativeHeight="251673600" behindDoc="0" locked="0" layoutInCell="1" allowOverlap="1" wp14:anchorId="29E1DC44" wp14:editId="58CBE635">
                <wp:simplePos x="0" y="0"/>
                <wp:positionH relativeFrom="column">
                  <wp:posOffset>2957830</wp:posOffset>
                </wp:positionH>
                <wp:positionV relativeFrom="paragraph">
                  <wp:posOffset>260350</wp:posOffset>
                </wp:positionV>
                <wp:extent cx="3465830" cy="413385"/>
                <wp:effectExtent l="0" t="0" r="1270"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413385"/>
                        </a:xfrm>
                        <a:prstGeom prst="rect">
                          <a:avLst/>
                        </a:prstGeom>
                        <a:solidFill>
                          <a:srgbClr val="FFFFFF"/>
                        </a:solidFill>
                        <a:ln w="9525">
                          <a:noFill/>
                          <a:miter lim="800000"/>
                          <a:headEnd/>
                          <a:tailEnd/>
                        </a:ln>
                      </wps:spPr>
                      <wps:txbx>
                        <w:txbxContent>
                          <w:p w14:paraId="5B5E62B3" w14:textId="4EEEBC6D" w:rsidR="001F18A0" w:rsidRPr="001F18A0" w:rsidRDefault="001F18A0" w:rsidP="001F18A0">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Figure</w:t>
                            </w:r>
                            <w:r w:rsidR="00116BBC">
                              <w:rPr>
                                <w:rFonts w:ascii="Public Sans" w:hAnsi="Public Sans"/>
                                <w:b/>
                                <w:i w:val="0"/>
                                <w:color w:val="4472C4" w:themeColor="accent1"/>
                                <w:sz w:val="20"/>
                                <w:szCs w:val="20"/>
                              </w:rPr>
                              <w:t xml:space="preserve"> 2</w:t>
                            </w:r>
                            <w:r w:rsidRPr="001F18A0">
                              <w:rPr>
                                <w:rFonts w:ascii="Public Sans" w:hAnsi="Public Sans"/>
                                <w:b/>
                                <w:i w:val="0"/>
                                <w:color w:val="4472C4" w:themeColor="accent1"/>
                                <w:sz w:val="20"/>
                                <w:szCs w:val="20"/>
                              </w:rPr>
                              <w:noBreakHyphen/>
                            </w:r>
                            <w:r>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t>.</w:t>
                            </w:r>
                            <w:r w:rsidRPr="001F18A0">
                              <w:rPr>
                                <w:rFonts w:ascii="Public Sans" w:hAnsi="Public Sans"/>
                                <w:color w:val="4472C4" w:themeColor="accent1"/>
                                <w:sz w:val="20"/>
                                <w:szCs w:val="20"/>
                              </w:rPr>
                              <w:t xml:space="preserve">  </w:t>
                            </w:r>
                            <w:r>
                              <w:rPr>
                                <w:rFonts w:ascii="Public Sans" w:hAnsi="Public Sans"/>
                                <w:color w:val="4472C4" w:themeColor="accent1"/>
                                <w:sz w:val="20"/>
                                <w:szCs w:val="20"/>
                              </w:rPr>
                              <w:t>Annual</w:t>
                            </w:r>
                            <w:r w:rsidRPr="001F18A0">
                              <w:rPr>
                                <w:rFonts w:ascii="Public Sans" w:hAnsi="Public Sans"/>
                                <w:color w:val="4472C4" w:themeColor="accent1"/>
                                <w:sz w:val="20"/>
                                <w:szCs w:val="20"/>
                              </w:rPr>
                              <w:t xml:space="preserve"> Design Value Trends for Connecticut Monitors in the NY-NJ-CT Maintenance Area.</w:t>
                            </w:r>
                          </w:p>
                          <w:p w14:paraId="4EFD5A0C" w14:textId="77777777" w:rsidR="001F18A0" w:rsidRDefault="001F18A0" w:rsidP="001F18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1DC44" id="Text Box 2" o:spid="_x0000_s1027" type="#_x0000_t202" style="position:absolute;margin-left:232.9pt;margin-top:20.5pt;width:272.9pt;height:32.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" stroked="f">
                <v:textbox>
                  <w:txbxContent>
                    <w:p w14:paraId="5B5E62B3" w14:textId="4EEEBC6D" w:rsidR="001F18A0" w:rsidRPr="001F18A0" w:rsidRDefault="001F18A0" w:rsidP="001F18A0">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Figure</w:t>
                      </w:r>
                      <w:r w:rsidR="00116BBC">
                        <w:rPr>
                          <w:rFonts w:ascii="Public Sans" w:hAnsi="Public Sans"/>
                          <w:b/>
                          <w:i w:val="0"/>
                          <w:color w:val="4472C4" w:themeColor="accent1"/>
                          <w:sz w:val="20"/>
                          <w:szCs w:val="20"/>
                        </w:rPr>
                        <w:t xml:space="preserve"> 2</w:t>
                      </w:r>
                      <w:r w:rsidRPr="001F18A0">
                        <w:rPr>
                          <w:rFonts w:ascii="Public Sans" w:hAnsi="Public Sans"/>
                          <w:b/>
                          <w:i w:val="0"/>
                          <w:color w:val="4472C4" w:themeColor="accent1"/>
                          <w:sz w:val="20"/>
                          <w:szCs w:val="20"/>
                        </w:rPr>
                        <w:noBreakHyphen/>
                      </w:r>
                      <w:r>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t>.</w:t>
                      </w:r>
                      <w:r w:rsidRPr="001F18A0">
                        <w:rPr>
                          <w:rFonts w:ascii="Public Sans" w:hAnsi="Public Sans"/>
                          <w:color w:val="4472C4" w:themeColor="accent1"/>
                          <w:sz w:val="20"/>
                          <w:szCs w:val="20"/>
                        </w:rPr>
                        <w:t xml:space="preserve">  </w:t>
                      </w:r>
                      <w:r>
                        <w:rPr>
                          <w:rFonts w:ascii="Public Sans" w:hAnsi="Public Sans"/>
                          <w:color w:val="4472C4" w:themeColor="accent1"/>
                          <w:sz w:val="20"/>
                          <w:szCs w:val="20"/>
                        </w:rPr>
                        <w:t>Annual</w:t>
                      </w:r>
                      <w:r w:rsidRPr="001F18A0">
                        <w:rPr>
                          <w:rFonts w:ascii="Public Sans" w:hAnsi="Public Sans"/>
                          <w:color w:val="4472C4" w:themeColor="accent1"/>
                          <w:sz w:val="20"/>
                          <w:szCs w:val="20"/>
                        </w:rPr>
                        <w:t xml:space="preserve"> Design Value Trends for Connecticut Monitors in the NY-NJ-CT Maintenance Area.</w:t>
                      </w:r>
                    </w:p>
                    <w:p w14:paraId="4EFD5A0C" w14:textId="77777777" w:rsidR="001F18A0" w:rsidRDefault="001F18A0" w:rsidP="001F18A0"/>
                  </w:txbxContent>
                </v:textbox>
                <w10:wrap type="square"/>
              </v:shape>
            </w:pict>
          </mc:Fallback>
        </mc:AlternateContent>
      </w:r>
      <w:r w:rsidRPr="001F18A0">
        <w:rPr>
          <w:rFonts w:ascii="Public Sans" w:hAnsi="Public Sans"/>
          <w:b/>
          <w:i/>
          <w:noProof/>
          <w:color w:val="4472C4" w:themeColor="accent1"/>
        </w:rPr>
        <mc:AlternateContent>
          <mc:Choice Requires="wps">
            <w:drawing>
              <wp:anchor distT="45720" distB="45720" distL="114300" distR="114300" simplePos="0" relativeHeight="251671552" behindDoc="0" locked="0" layoutInCell="1" allowOverlap="1" wp14:anchorId="214B605D" wp14:editId="63BC92D8">
                <wp:simplePos x="0" y="0"/>
                <wp:positionH relativeFrom="column">
                  <wp:posOffset>-389890</wp:posOffset>
                </wp:positionH>
                <wp:positionV relativeFrom="paragraph">
                  <wp:posOffset>276639</wp:posOffset>
                </wp:positionV>
                <wp:extent cx="3465830" cy="389255"/>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389255"/>
                        </a:xfrm>
                        <a:prstGeom prst="rect">
                          <a:avLst/>
                        </a:prstGeom>
                        <a:solidFill>
                          <a:srgbClr val="FFFFFF"/>
                        </a:solidFill>
                        <a:ln w="9525">
                          <a:noFill/>
                          <a:miter lim="800000"/>
                          <a:headEnd/>
                          <a:tailEnd/>
                        </a:ln>
                      </wps:spPr>
                      <wps:txbx>
                        <w:txbxContent>
                          <w:p w14:paraId="540EFB30" w14:textId="37BF7957" w:rsidR="001F18A0" w:rsidRPr="001F18A0" w:rsidRDefault="001F18A0" w:rsidP="001F18A0">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Figure</w:t>
                            </w:r>
                            <w:r w:rsidR="00116BBC">
                              <w:rPr>
                                <w:rFonts w:ascii="Public Sans" w:hAnsi="Public Sans"/>
                                <w:b/>
                                <w:i w:val="0"/>
                                <w:color w:val="4472C4" w:themeColor="accent1"/>
                                <w:sz w:val="20"/>
                                <w:szCs w:val="20"/>
                              </w:rPr>
                              <w:t xml:space="preserve"> 2-1.</w:t>
                            </w:r>
                            <w:r w:rsidRPr="001F18A0">
                              <w:rPr>
                                <w:rFonts w:ascii="Public Sans" w:hAnsi="Public Sans"/>
                                <w:b/>
                                <w:i w:val="0"/>
                                <w:color w:val="4472C4" w:themeColor="accent1"/>
                                <w:sz w:val="20"/>
                                <w:szCs w:val="20"/>
                              </w:rPr>
                              <w:t xml:space="preserve"> </w:t>
                            </w:r>
                            <w:r w:rsidRPr="001F18A0">
                              <w:rPr>
                                <w:rFonts w:ascii="Public Sans" w:hAnsi="Public Sans"/>
                                <w:color w:val="4472C4" w:themeColor="accent1"/>
                                <w:sz w:val="20"/>
                                <w:szCs w:val="20"/>
                              </w:rPr>
                              <w:t>24- Hour Design Value Trends for Connecticut Monitors in the NY-NJ-CT Maintenance Area.</w:t>
                            </w:r>
                          </w:p>
                          <w:p w14:paraId="5DC741D8" w14:textId="77777777" w:rsidR="001F18A0" w:rsidRDefault="001F18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B605D" id="_x0000_s1028" type="#_x0000_t202" style="position:absolute;margin-left:-30.7pt;margin-top:21.8pt;width:272.9pt;height:30.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" stroked="f">
                <v:textbox>
                  <w:txbxContent>
                    <w:p w14:paraId="540EFB30" w14:textId="37BF7957" w:rsidR="001F18A0" w:rsidRPr="001F18A0" w:rsidRDefault="001F18A0" w:rsidP="001F18A0">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Figure</w:t>
                      </w:r>
                      <w:r w:rsidR="00116BBC">
                        <w:rPr>
                          <w:rFonts w:ascii="Public Sans" w:hAnsi="Public Sans"/>
                          <w:b/>
                          <w:i w:val="0"/>
                          <w:color w:val="4472C4" w:themeColor="accent1"/>
                          <w:sz w:val="20"/>
                          <w:szCs w:val="20"/>
                        </w:rPr>
                        <w:t xml:space="preserve"> 2-1.</w:t>
                      </w:r>
                      <w:r w:rsidRPr="001F18A0">
                        <w:rPr>
                          <w:rFonts w:ascii="Public Sans" w:hAnsi="Public Sans"/>
                          <w:b/>
                          <w:i w:val="0"/>
                          <w:color w:val="4472C4" w:themeColor="accent1"/>
                          <w:sz w:val="20"/>
                          <w:szCs w:val="20"/>
                        </w:rPr>
                        <w:t xml:space="preserve"> </w:t>
                      </w:r>
                      <w:r w:rsidRPr="001F18A0">
                        <w:rPr>
                          <w:rFonts w:ascii="Public Sans" w:hAnsi="Public Sans"/>
                          <w:color w:val="4472C4" w:themeColor="accent1"/>
                          <w:sz w:val="20"/>
                          <w:szCs w:val="20"/>
                        </w:rPr>
                        <w:t>24- Hour Design Value Trends for Connecticut Monitors in the NY-NJ-CT Maintenance Area.</w:t>
                      </w:r>
                    </w:p>
                    <w:p w14:paraId="5DC741D8" w14:textId="77777777" w:rsidR="001F18A0" w:rsidRDefault="001F18A0"/>
                  </w:txbxContent>
                </v:textbox>
                <w10:wrap type="square"/>
              </v:shape>
            </w:pict>
          </mc:Fallback>
        </mc:AlternateContent>
      </w:r>
    </w:p>
    <w:p w14:paraId="4B5D1801" w14:textId="77777777" w:rsidR="0084210D" w:rsidRDefault="0084210D" w:rsidP="00FB5648">
      <w:pPr>
        <w:ind w:left="720"/>
        <w:rPr>
          <w:rFonts w:ascii="Public Sans" w:hAnsi="Public Sans"/>
        </w:rPr>
      </w:pPr>
    </w:p>
    <w:p w14:paraId="6AF6F1BA" w14:textId="2205B59C" w:rsidR="00633779" w:rsidRPr="00922609" w:rsidRDefault="0084210D" w:rsidP="00FB5648">
      <w:pPr>
        <w:ind w:left="720"/>
        <w:rPr>
          <w:rFonts w:ascii="Public Sans" w:hAnsi="Public Sans"/>
        </w:rPr>
      </w:pPr>
      <w:r>
        <w:rPr>
          <w:rFonts w:ascii="Public Sans" w:hAnsi="Public Sans"/>
        </w:rPr>
        <w:t xml:space="preserve">Page 11 of the </w:t>
      </w:r>
      <w:r w:rsidR="002D0898" w:rsidRPr="00922609">
        <w:rPr>
          <w:rFonts w:ascii="Public Sans" w:hAnsi="Public Sans"/>
        </w:rPr>
        <w:t xml:space="preserve">SIP </w:t>
      </w:r>
      <w:proofErr w:type="gramStart"/>
      <w:r w:rsidR="002D0898" w:rsidRPr="00922609">
        <w:rPr>
          <w:rFonts w:ascii="Public Sans" w:hAnsi="Public Sans"/>
        </w:rPr>
        <w:t>has been revised</w:t>
      </w:r>
      <w:proofErr w:type="gramEnd"/>
      <w:r w:rsidR="002D0898" w:rsidRPr="00922609">
        <w:rPr>
          <w:rFonts w:ascii="Public Sans" w:hAnsi="Public Sans"/>
        </w:rPr>
        <w:t xml:space="preserve"> to include the following figures </w:t>
      </w:r>
      <w:r w:rsidR="00420D64">
        <w:rPr>
          <w:rFonts w:ascii="Public Sans" w:hAnsi="Public Sans"/>
        </w:rPr>
        <w:t>replacing</w:t>
      </w:r>
      <w:r w:rsidR="002D0898" w:rsidRPr="00922609">
        <w:rPr>
          <w:rFonts w:ascii="Public Sans" w:hAnsi="Public Sans"/>
        </w:rPr>
        <w:t xml:space="preserve"> the </w:t>
      </w:r>
      <w:r w:rsidR="00420D64">
        <w:rPr>
          <w:rFonts w:ascii="Public Sans" w:hAnsi="Public Sans"/>
        </w:rPr>
        <w:t xml:space="preserve">figures </w:t>
      </w:r>
      <w:r w:rsidR="002D0898" w:rsidRPr="00922609">
        <w:rPr>
          <w:rFonts w:ascii="Public Sans" w:hAnsi="Public Sans"/>
        </w:rPr>
        <w:t>above</w:t>
      </w:r>
      <w:r w:rsidR="00420D64">
        <w:rPr>
          <w:rFonts w:ascii="Public Sans" w:hAnsi="Public Sans"/>
        </w:rPr>
        <w:t>.</w:t>
      </w:r>
      <w:r w:rsidR="00482934" w:rsidRPr="00922609">
        <w:rPr>
          <w:rFonts w:ascii="Public Sans" w:hAnsi="Public Sans"/>
        </w:rPr>
        <w:t xml:space="preserve"> </w:t>
      </w:r>
    </w:p>
    <w:p w14:paraId="1EA44AC2" w14:textId="77777777" w:rsidR="00794BC1" w:rsidRDefault="00C9089D" w:rsidP="005D28F4">
      <w:pPr>
        <w:textAlignment w:val="baseline"/>
        <w:rPr>
          <w:rFonts w:ascii="Public Sans" w:eastAsia="Times New Roman" w:hAnsi="Public Sans"/>
          <w:b/>
          <w:bCs/>
        </w:rPr>
      </w:pPr>
      <w:r w:rsidRPr="001F18A0">
        <w:rPr>
          <w:rFonts w:ascii="Public Sans" w:hAnsi="Public Sans"/>
          <w:b/>
          <w:i/>
          <w:noProof/>
          <w:color w:val="4472C4" w:themeColor="accent1"/>
        </w:rPr>
        <mc:AlternateContent>
          <mc:Choice Requires="wps">
            <w:drawing>
              <wp:anchor distT="45720" distB="45720" distL="114300" distR="114300" simplePos="0" relativeHeight="251677696" behindDoc="0" locked="0" layoutInCell="1" allowOverlap="1" wp14:anchorId="545A581C" wp14:editId="28F31CBD">
                <wp:simplePos x="0" y="0"/>
                <wp:positionH relativeFrom="column">
                  <wp:posOffset>2929559</wp:posOffset>
                </wp:positionH>
                <wp:positionV relativeFrom="paragraph">
                  <wp:posOffset>264823</wp:posOffset>
                </wp:positionV>
                <wp:extent cx="3465830" cy="556260"/>
                <wp:effectExtent l="0" t="0" r="127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556260"/>
                        </a:xfrm>
                        <a:prstGeom prst="rect">
                          <a:avLst/>
                        </a:prstGeom>
                        <a:solidFill>
                          <a:srgbClr val="FFFFFF"/>
                        </a:solidFill>
                        <a:ln w="9525">
                          <a:noFill/>
                          <a:miter lim="800000"/>
                          <a:headEnd/>
                          <a:tailEnd/>
                        </a:ln>
                      </wps:spPr>
                      <wps:txbx>
                        <w:txbxContent>
                          <w:p w14:paraId="6D088093" w14:textId="349664B1" w:rsidR="00C01F5E" w:rsidRPr="001F18A0" w:rsidRDefault="00C01F5E" w:rsidP="00C01F5E">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 xml:space="preserve">Figure </w:t>
                            </w:r>
                            <w:r w:rsidR="00116BBC">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noBreakHyphen/>
                            </w:r>
                            <w:r>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t>.</w:t>
                            </w:r>
                            <w:r w:rsidRPr="001F18A0">
                              <w:rPr>
                                <w:rFonts w:ascii="Public Sans" w:hAnsi="Public Sans"/>
                                <w:color w:val="4472C4" w:themeColor="accent1"/>
                                <w:sz w:val="20"/>
                                <w:szCs w:val="20"/>
                              </w:rPr>
                              <w:t xml:space="preserve">  </w:t>
                            </w:r>
                            <w:r>
                              <w:rPr>
                                <w:rFonts w:ascii="Public Sans" w:hAnsi="Public Sans"/>
                                <w:color w:val="4472C4" w:themeColor="accent1"/>
                                <w:sz w:val="20"/>
                                <w:szCs w:val="20"/>
                              </w:rPr>
                              <w:t>Annual</w:t>
                            </w:r>
                            <w:r w:rsidRPr="001F18A0">
                              <w:rPr>
                                <w:rFonts w:ascii="Public Sans" w:hAnsi="Public Sans"/>
                                <w:color w:val="4472C4" w:themeColor="accent1"/>
                                <w:sz w:val="20"/>
                                <w:szCs w:val="20"/>
                              </w:rPr>
                              <w:t xml:space="preserve"> Design Value Trends for Connecticut Monitors in the NY-NJ-CT Maintenance Area (2022 </w:t>
                            </w:r>
                            <w:r w:rsidR="00266F8E">
                              <w:rPr>
                                <w:rFonts w:ascii="Public Sans" w:hAnsi="Public Sans"/>
                                <w:color w:val="4472C4" w:themeColor="accent1"/>
                                <w:sz w:val="20"/>
                                <w:szCs w:val="20"/>
                              </w:rPr>
                              <w:t>Design Values are preliminary)</w:t>
                            </w:r>
                            <w:r w:rsidRPr="001F18A0">
                              <w:rPr>
                                <w:rFonts w:ascii="Public Sans" w:hAnsi="Public Sans"/>
                                <w:color w:val="4472C4" w:themeColor="accent1"/>
                                <w:sz w:val="20"/>
                                <w:szCs w:val="20"/>
                              </w:rPr>
                              <w:t>.</w:t>
                            </w:r>
                          </w:p>
                          <w:p w14:paraId="7A397B77" w14:textId="77777777" w:rsidR="00C01F5E" w:rsidRDefault="00C01F5E" w:rsidP="00C01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A581C" id="_x0000_s1029" type="#_x0000_t202" style="position:absolute;margin-left:230.65pt;margin-top:20.85pt;width:272.9pt;height:43.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" stroked="f">
                <v:textbox>
                  <w:txbxContent>
                    <w:p w14:paraId="6D088093" w14:textId="349664B1" w:rsidR="00C01F5E" w:rsidRPr="001F18A0" w:rsidRDefault="00C01F5E" w:rsidP="00C01F5E">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 xml:space="preserve">Figure </w:t>
                      </w:r>
                      <w:r w:rsidR="00116BBC">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noBreakHyphen/>
                      </w:r>
                      <w:r>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t>.</w:t>
                      </w:r>
                      <w:r w:rsidRPr="001F18A0">
                        <w:rPr>
                          <w:rFonts w:ascii="Public Sans" w:hAnsi="Public Sans"/>
                          <w:color w:val="4472C4" w:themeColor="accent1"/>
                          <w:sz w:val="20"/>
                          <w:szCs w:val="20"/>
                        </w:rPr>
                        <w:t xml:space="preserve">  </w:t>
                      </w:r>
                      <w:r>
                        <w:rPr>
                          <w:rFonts w:ascii="Public Sans" w:hAnsi="Public Sans"/>
                          <w:color w:val="4472C4" w:themeColor="accent1"/>
                          <w:sz w:val="20"/>
                          <w:szCs w:val="20"/>
                        </w:rPr>
                        <w:t>Annual</w:t>
                      </w:r>
                      <w:r w:rsidRPr="001F18A0">
                        <w:rPr>
                          <w:rFonts w:ascii="Public Sans" w:hAnsi="Public Sans"/>
                          <w:color w:val="4472C4" w:themeColor="accent1"/>
                          <w:sz w:val="20"/>
                          <w:szCs w:val="20"/>
                        </w:rPr>
                        <w:t xml:space="preserve"> Design Value Trends for Connecticut Monitors in the NY-NJ-CT Maintenance Area (2022 </w:t>
                      </w:r>
                      <w:r w:rsidR="00266F8E">
                        <w:rPr>
                          <w:rFonts w:ascii="Public Sans" w:hAnsi="Public Sans"/>
                          <w:color w:val="4472C4" w:themeColor="accent1"/>
                          <w:sz w:val="20"/>
                          <w:szCs w:val="20"/>
                        </w:rPr>
                        <w:t>Design Values are preliminary)</w:t>
                      </w:r>
                      <w:r w:rsidRPr="001F18A0">
                        <w:rPr>
                          <w:rFonts w:ascii="Public Sans" w:hAnsi="Public Sans"/>
                          <w:color w:val="4472C4" w:themeColor="accent1"/>
                          <w:sz w:val="20"/>
                          <w:szCs w:val="20"/>
                        </w:rPr>
                        <w:t>.</w:t>
                      </w:r>
                    </w:p>
                    <w:p w14:paraId="7A397B77" w14:textId="77777777" w:rsidR="00C01F5E" w:rsidRDefault="00C01F5E" w:rsidP="00C01F5E"/>
                  </w:txbxContent>
                </v:textbox>
                <w10:wrap type="square"/>
              </v:shape>
            </w:pict>
          </mc:Fallback>
        </mc:AlternateContent>
      </w:r>
      <w:r>
        <w:rPr>
          <w:noProof/>
        </w:rPr>
        <w:drawing>
          <wp:anchor distT="0" distB="0" distL="114300" distR="114300" simplePos="0" relativeHeight="251669504" behindDoc="0" locked="0" layoutInCell="1" allowOverlap="1" wp14:anchorId="11A24E16" wp14:editId="1A9A6A27">
            <wp:simplePos x="0" y="0"/>
            <wp:positionH relativeFrom="margin">
              <wp:posOffset>-431165</wp:posOffset>
            </wp:positionH>
            <wp:positionV relativeFrom="paragraph">
              <wp:posOffset>864870</wp:posOffset>
            </wp:positionV>
            <wp:extent cx="6727190" cy="211582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27190" cy="2115820"/>
                    </a:xfrm>
                    <a:prstGeom prst="rect">
                      <a:avLst/>
                    </a:prstGeom>
                  </pic:spPr>
                </pic:pic>
              </a:graphicData>
            </a:graphic>
            <wp14:sizeRelH relativeFrom="margin">
              <wp14:pctWidth>0</wp14:pctWidth>
            </wp14:sizeRelH>
            <wp14:sizeRelV relativeFrom="margin">
              <wp14:pctHeight>0</wp14:pctHeight>
            </wp14:sizeRelV>
          </wp:anchor>
        </w:drawing>
      </w:r>
    </w:p>
    <w:p w14:paraId="1FD4B465" w14:textId="77777777" w:rsidR="00794BC1" w:rsidRDefault="00C01F5E" w:rsidP="005D28F4">
      <w:pPr>
        <w:textAlignment w:val="baseline"/>
        <w:rPr>
          <w:rFonts w:ascii="Public Sans" w:eastAsia="Times New Roman" w:hAnsi="Public Sans"/>
          <w:b/>
          <w:bCs/>
        </w:rPr>
      </w:pPr>
      <w:r w:rsidRPr="001F18A0">
        <w:rPr>
          <w:rFonts w:ascii="Public Sans" w:hAnsi="Public Sans"/>
          <w:b/>
          <w:i/>
          <w:noProof/>
          <w:color w:val="4472C4" w:themeColor="accent1"/>
        </w:rPr>
        <mc:AlternateContent>
          <mc:Choice Requires="wps">
            <w:drawing>
              <wp:anchor distT="45720" distB="45720" distL="114300" distR="114300" simplePos="0" relativeHeight="251675648" behindDoc="0" locked="0" layoutInCell="1" allowOverlap="1" wp14:anchorId="30E70A93" wp14:editId="2A8D69EB">
                <wp:simplePos x="0" y="0"/>
                <wp:positionH relativeFrom="column">
                  <wp:posOffset>-461066</wp:posOffset>
                </wp:positionH>
                <wp:positionV relativeFrom="paragraph">
                  <wp:posOffset>80396</wp:posOffset>
                </wp:positionV>
                <wp:extent cx="3465830" cy="556260"/>
                <wp:effectExtent l="0" t="0" r="127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556260"/>
                        </a:xfrm>
                        <a:prstGeom prst="rect">
                          <a:avLst/>
                        </a:prstGeom>
                        <a:solidFill>
                          <a:srgbClr val="FFFFFF"/>
                        </a:solidFill>
                        <a:ln w="9525">
                          <a:noFill/>
                          <a:miter lim="800000"/>
                          <a:headEnd/>
                          <a:tailEnd/>
                        </a:ln>
                      </wps:spPr>
                      <wps:txbx>
                        <w:txbxContent>
                          <w:p w14:paraId="3136523C" w14:textId="322A92E0" w:rsidR="00C01F5E" w:rsidRPr="001F18A0" w:rsidRDefault="00C01F5E" w:rsidP="00C01F5E">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 xml:space="preserve">Figure </w:t>
                            </w:r>
                            <w:r w:rsidR="00116BBC">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noBreakHyphen/>
                            </w:r>
                            <w:r w:rsidR="00116BBC">
                              <w:rPr>
                                <w:rFonts w:ascii="Public Sans" w:hAnsi="Public Sans"/>
                                <w:b/>
                                <w:i w:val="0"/>
                                <w:color w:val="4472C4" w:themeColor="accent1"/>
                                <w:sz w:val="20"/>
                                <w:szCs w:val="20"/>
                              </w:rPr>
                              <w:t>1</w:t>
                            </w:r>
                            <w:r w:rsidRPr="001F18A0">
                              <w:rPr>
                                <w:rFonts w:ascii="Public Sans" w:hAnsi="Public Sans"/>
                                <w:b/>
                                <w:i w:val="0"/>
                                <w:color w:val="4472C4" w:themeColor="accent1"/>
                                <w:sz w:val="20"/>
                                <w:szCs w:val="20"/>
                              </w:rPr>
                              <w:t>.</w:t>
                            </w:r>
                            <w:r w:rsidRPr="001F18A0">
                              <w:rPr>
                                <w:rFonts w:ascii="Public Sans" w:hAnsi="Public Sans"/>
                                <w:color w:val="4472C4" w:themeColor="accent1"/>
                                <w:sz w:val="20"/>
                                <w:szCs w:val="20"/>
                              </w:rPr>
                              <w:t xml:space="preserve">  24- Hour Design Value Trends for Connecticut Monitors in the NY-NJ-CT Maintenance Area (2022 </w:t>
                            </w:r>
                            <w:r w:rsidR="00266F8E">
                              <w:rPr>
                                <w:rFonts w:ascii="Public Sans" w:hAnsi="Public Sans"/>
                                <w:color w:val="4472C4" w:themeColor="accent1"/>
                                <w:sz w:val="20"/>
                                <w:szCs w:val="20"/>
                              </w:rPr>
                              <w:t xml:space="preserve">Design </w:t>
                            </w:r>
                            <w:r w:rsidR="00730930">
                              <w:rPr>
                                <w:rFonts w:ascii="Public Sans" w:hAnsi="Public Sans"/>
                                <w:color w:val="4472C4" w:themeColor="accent1"/>
                                <w:sz w:val="20"/>
                                <w:szCs w:val="20"/>
                              </w:rPr>
                              <w:t>V</w:t>
                            </w:r>
                            <w:r w:rsidR="00266F8E">
                              <w:rPr>
                                <w:rFonts w:ascii="Public Sans" w:hAnsi="Public Sans"/>
                                <w:color w:val="4472C4" w:themeColor="accent1"/>
                                <w:sz w:val="20"/>
                                <w:szCs w:val="20"/>
                              </w:rPr>
                              <w:t>alues are p</w:t>
                            </w:r>
                            <w:r w:rsidRPr="001F18A0">
                              <w:rPr>
                                <w:rFonts w:ascii="Public Sans" w:hAnsi="Public Sans"/>
                                <w:color w:val="4472C4" w:themeColor="accent1"/>
                                <w:sz w:val="20"/>
                                <w:szCs w:val="20"/>
                              </w:rPr>
                              <w:t>reliminar</w:t>
                            </w:r>
                            <w:r w:rsidR="00266F8E">
                              <w:rPr>
                                <w:rFonts w:ascii="Public Sans" w:hAnsi="Public Sans"/>
                                <w:color w:val="4472C4" w:themeColor="accent1"/>
                                <w:sz w:val="20"/>
                                <w:szCs w:val="20"/>
                              </w:rPr>
                              <w:t>y</w:t>
                            </w:r>
                            <w:r w:rsidRPr="001F18A0">
                              <w:rPr>
                                <w:rFonts w:ascii="Public Sans" w:hAnsi="Public Sans"/>
                                <w:color w:val="4472C4" w:themeColor="accent1"/>
                                <w:sz w:val="20"/>
                                <w:szCs w:val="20"/>
                              </w:rPr>
                              <w:t>).</w:t>
                            </w:r>
                          </w:p>
                          <w:p w14:paraId="0BFD828B" w14:textId="77777777" w:rsidR="00C01F5E" w:rsidRDefault="00C01F5E" w:rsidP="00C01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70A93" id="_x0000_s1030" type="#_x0000_t202" style="position:absolute;margin-left:-36.3pt;margin-top:6.35pt;width:272.9pt;height:43.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" stroked="f">
                <v:textbox>
                  <w:txbxContent>
                    <w:p w14:paraId="3136523C" w14:textId="322A92E0" w:rsidR="00C01F5E" w:rsidRPr="001F18A0" w:rsidRDefault="00C01F5E" w:rsidP="00C01F5E">
                      <w:pPr>
                        <w:pStyle w:val="Caption"/>
                        <w:rPr>
                          <w:rFonts w:ascii="Public Sans" w:eastAsia="Times New Roman" w:hAnsi="Public Sans" w:cs="Times New Roman"/>
                          <w:noProof/>
                          <w:color w:val="4472C4" w:themeColor="accent1"/>
                          <w:sz w:val="20"/>
                          <w:szCs w:val="20"/>
                        </w:rPr>
                      </w:pPr>
                      <w:r w:rsidRPr="001F18A0">
                        <w:rPr>
                          <w:rFonts w:ascii="Public Sans" w:hAnsi="Public Sans"/>
                          <w:b/>
                          <w:i w:val="0"/>
                          <w:color w:val="4472C4" w:themeColor="accent1"/>
                          <w:sz w:val="20"/>
                          <w:szCs w:val="20"/>
                        </w:rPr>
                        <w:t xml:space="preserve">Figure </w:t>
                      </w:r>
                      <w:r w:rsidR="00116BBC">
                        <w:rPr>
                          <w:rFonts w:ascii="Public Sans" w:hAnsi="Public Sans"/>
                          <w:b/>
                          <w:i w:val="0"/>
                          <w:color w:val="4472C4" w:themeColor="accent1"/>
                          <w:sz w:val="20"/>
                          <w:szCs w:val="20"/>
                        </w:rPr>
                        <w:t>2</w:t>
                      </w:r>
                      <w:r w:rsidRPr="001F18A0">
                        <w:rPr>
                          <w:rFonts w:ascii="Public Sans" w:hAnsi="Public Sans"/>
                          <w:b/>
                          <w:i w:val="0"/>
                          <w:color w:val="4472C4" w:themeColor="accent1"/>
                          <w:sz w:val="20"/>
                          <w:szCs w:val="20"/>
                        </w:rPr>
                        <w:noBreakHyphen/>
                      </w:r>
                      <w:r w:rsidR="00116BBC">
                        <w:rPr>
                          <w:rFonts w:ascii="Public Sans" w:hAnsi="Public Sans"/>
                          <w:b/>
                          <w:i w:val="0"/>
                          <w:color w:val="4472C4" w:themeColor="accent1"/>
                          <w:sz w:val="20"/>
                          <w:szCs w:val="20"/>
                        </w:rPr>
                        <w:t>1</w:t>
                      </w:r>
                      <w:r w:rsidRPr="001F18A0">
                        <w:rPr>
                          <w:rFonts w:ascii="Public Sans" w:hAnsi="Public Sans"/>
                          <w:b/>
                          <w:i w:val="0"/>
                          <w:color w:val="4472C4" w:themeColor="accent1"/>
                          <w:sz w:val="20"/>
                          <w:szCs w:val="20"/>
                        </w:rPr>
                        <w:t>.</w:t>
                      </w:r>
                      <w:r w:rsidRPr="001F18A0">
                        <w:rPr>
                          <w:rFonts w:ascii="Public Sans" w:hAnsi="Public Sans"/>
                          <w:color w:val="4472C4" w:themeColor="accent1"/>
                          <w:sz w:val="20"/>
                          <w:szCs w:val="20"/>
                        </w:rPr>
                        <w:t xml:space="preserve">  24- Hour Design Value Trends for Connecticut Monitors in the NY-NJ-CT Maintenance Area (2022 </w:t>
                      </w:r>
                      <w:r w:rsidR="00266F8E">
                        <w:rPr>
                          <w:rFonts w:ascii="Public Sans" w:hAnsi="Public Sans"/>
                          <w:color w:val="4472C4" w:themeColor="accent1"/>
                          <w:sz w:val="20"/>
                          <w:szCs w:val="20"/>
                        </w:rPr>
                        <w:t xml:space="preserve">Design </w:t>
                      </w:r>
                      <w:r w:rsidR="00730930">
                        <w:rPr>
                          <w:rFonts w:ascii="Public Sans" w:hAnsi="Public Sans"/>
                          <w:color w:val="4472C4" w:themeColor="accent1"/>
                          <w:sz w:val="20"/>
                          <w:szCs w:val="20"/>
                        </w:rPr>
                        <w:t>V</w:t>
                      </w:r>
                      <w:r w:rsidR="00266F8E">
                        <w:rPr>
                          <w:rFonts w:ascii="Public Sans" w:hAnsi="Public Sans"/>
                          <w:color w:val="4472C4" w:themeColor="accent1"/>
                          <w:sz w:val="20"/>
                          <w:szCs w:val="20"/>
                        </w:rPr>
                        <w:t>alues are p</w:t>
                      </w:r>
                      <w:r w:rsidRPr="001F18A0">
                        <w:rPr>
                          <w:rFonts w:ascii="Public Sans" w:hAnsi="Public Sans"/>
                          <w:color w:val="4472C4" w:themeColor="accent1"/>
                          <w:sz w:val="20"/>
                          <w:szCs w:val="20"/>
                        </w:rPr>
                        <w:t>reliminar</w:t>
                      </w:r>
                      <w:r w:rsidR="00266F8E">
                        <w:rPr>
                          <w:rFonts w:ascii="Public Sans" w:hAnsi="Public Sans"/>
                          <w:color w:val="4472C4" w:themeColor="accent1"/>
                          <w:sz w:val="20"/>
                          <w:szCs w:val="20"/>
                        </w:rPr>
                        <w:t>y</w:t>
                      </w:r>
                      <w:r w:rsidRPr="001F18A0">
                        <w:rPr>
                          <w:rFonts w:ascii="Public Sans" w:hAnsi="Public Sans"/>
                          <w:color w:val="4472C4" w:themeColor="accent1"/>
                          <w:sz w:val="20"/>
                          <w:szCs w:val="20"/>
                        </w:rPr>
                        <w:t>).</w:t>
                      </w:r>
                    </w:p>
                    <w:p w14:paraId="0BFD828B" w14:textId="77777777" w:rsidR="00C01F5E" w:rsidRDefault="00C01F5E" w:rsidP="00C01F5E"/>
                  </w:txbxContent>
                </v:textbox>
                <w10:wrap type="square"/>
              </v:shape>
            </w:pict>
          </mc:Fallback>
        </mc:AlternateContent>
      </w:r>
    </w:p>
    <w:p w14:paraId="3E1937D8" w14:textId="5014F5E4" w:rsidR="00794BC1" w:rsidRDefault="00794BC1" w:rsidP="005D28F4">
      <w:pPr>
        <w:textAlignment w:val="baseline"/>
        <w:rPr>
          <w:rFonts w:ascii="Public Sans" w:eastAsia="Times New Roman" w:hAnsi="Public Sans"/>
          <w:b/>
          <w:bCs/>
        </w:rPr>
      </w:pPr>
    </w:p>
    <w:p w14:paraId="4F2A0BF6" w14:textId="77777777" w:rsidR="0084210D" w:rsidRDefault="0084210D" w:rsidP="005D28F4">
      <w:pPr>
        <w:textAlignment w:val="baseline"/>
        <w:rPr>
          <w:rFonts w:ascii="Public Sans" w:eastAsia="Times New Roman" w:hAnsi="Public Sans"/>
          <w:b/>
          <w:bCs/>
        </w:rPr>
      </w:pPr>
    </w:p>
    <w:p w14:paraId="51504027" w14:textId="77777777" w:rsidR="00794BC1" w:rsidRDefault="00794BC1" w:rsidP="005D28F4">
      <w:pPr>
        <w:textAlignment w:val="baseline"/>
        <w:rPr>
          <w:rFonts w:ascii="Public Sans" w:eastAsia="Times New Roman" w:hAnsi="Public Sans"/>
          <w:b/>
          <w:bCs/>
        </w:rPr>
      </w:pPr>
    </w:p>
    <w:p w14:paraId="0EBA045E" w14:textId="1B19B7EF" w:rsidR="005D28F4" w:rsidRPr="00AB2C37" w:rsidRDefault="005D28F4" w:rsidP="005D28F4">
      <w:pPr>
        <w:textAlignment w:val="baseline"/>
        <w:rPr>
          <w:rFonts w:ascii="Public Sans" w:hAnsi="Public Sans"/>
        </w:rPr>
      </w:pPr>
      <w:r w:rsidRPr="00AB2C37">
        <w:rPr>
          <w:rFonts w:ascii="Public Sans" w:eastAsia="Times New Roman" w:hAnsi="Public Sans"/>
          <w:b/>
          <w:bCs/>
        </w:rPr>
        <w:lastRenderedPageBreak/>
        <w:t>Comment:</w:t>
      </w:r>
      <w:r w:rsidRPr="00AB2C37">
        <w:rPr>
          <w:rFonts w:ascii="Public Sans" w:eastAsia="Times New Roman" w:hAnsi="Public Sans"/>
        </w:rPr>
        <w:t xml:space="preserve"> </w:t>
      </w:r>
      <w:r w:rsidRPr="00AB2C37">
        <w:rPr>
          <w:rFonts w:ascii="Public Sans" w:hAnsi="Public Sans"/>
        </w:rPr>
        <w:t xml:space="preserve">In addition to the graphs included in page 11, EPA suggests Connecticut DEEP include tables of the numbers and data used to generate the graphs. </w:t>
      </w:r>
    </w:p>
    <w:p w14:paraId="114648B7" w14:textId="77777777" w:rsidR="005D28F4" w:rsidRPr="00AB2C37" w:rsidRDefault="005D28F4" w:rsidP="005D28F4">
      <w:pPr>
        <w:textAlignment w:val="baseline"/>
        <w:rPr>
          <w:rFonts w:ascii="Public Sans" w:eastAsia="Times New Roman" w:hAnsi="Public Sans" w:cs="Segoe UI"/>
          <w:sz w:val="18"/>
          <w:szCs w:val="18"/>
          <w:highlight w:val="yellow"/>
        </w:rPr>
      </w:pPr>
    </w:p>
    <w:p w14:paraId="506061A8" w14:textId="1A343BDC" w:rsidR="005D28F4" w:rsidRDefault="005D28F4" w:rsidP="005D28F4">
      <w:pPr>
        <w:ind w:left="720"/>
        <w:textAlignment w:val="baseline"/>
        <w:rPr>
          <w:rFonts w:ascii="Public Sans" w:eastAsia="Times New Roman" w:hAnsi="Public Sans"/>
        </w:rPr>
      </w:pPr>
      <w:r w:rsidRPr="00AB2C37">
        <w:rPr>
          <w:rFonts w:ascii="Public Sans" w:eastAsia="Times New Roman" w:hAnsi="Public Sans"/>
          <w:b/>
          <w:bCs/>
        </w:rPr>
        <w:t>Response:</w:t>
      </w:r>
      <w:r w:rsidRPr="00AB2C37">
        <w:rPr>
          <w:rFonts w:ascii="Public Sans" w:eastAsia="Times New Roman" w:hAnsi="Public Sans"/>
        </w:rPr>
        <w:t xml:space="preserve"> The purpose of the graph is to visually demonstrate the more than adequate margin between design values and standards. Interested readers can find relevant </w:t>
      </w:r>
      <w:r w:rsidR="00F51AD6">
        <w:rPr>
          <w:rFonts w:ascii="Public Sans" w:eastAsia="Times New Roman" w:hAnsi="Public Sans"/>
        </w:rPr>
        <w:t xml:space="preserve">valid </w:t>
      </w:r>
      <w:r w:rsidRPr="00AB2C37">
        <w:rPr>
          <w:rFonts w:ascii="Public Sans" w:eastAsia="Times New Roman" w:hAnsi="Public Sans"/>
        </w:rPr>
        <w:t xml:space="preserve">design values </w:t>
      </w:r>
      <w:r w:rsidR="0084210D">
        <w:rPr>
          <w:rFonts w:ascii="Public Sans" w:eastAsia="Times New Roman" w:hAnsi="Public Sans"/>
        </w:rPr>
        <w:t>below, as well through</w:t>
      </w:r>
      <w:r>
        <w:rPr>
          <w:rFonts w:ascii="Public Sans" w:eastAsia="Times New Roman" w:hAnsi="Public Sans"/>
        </w:rPr>
        <w:t xml:space="preserve"> EPA’s Design Value Interactive Tool</w:t>
      </w:r>
      <w:r w:rsidR="00131601">
        <w:rPr>
          <w:rFonts w:ascii="Public Sans" w:eastAsia="Times New Roman" w:hAnsi="Public Sans"/>
        </w:rPr>
        <w:t>.</w:t>
      </w:r>
      <w:r w:rsidRPr="004D4271">
        <w:rPr>
          <w:rFonts w:ascii="Public Sans" w:eastAsia="Times New Roman" w:hAnsi="Public Sans"/>
        </w:rPr>
        <w:t xml:space="preserve"> </w:t>
      </w:r>
      <w:bookmarkStart w:id="0" w:name="_Hlk131072336"/>
      <w:r w:rsidR="00030AE1">
        <w:rPr>
          <w:rFonts w:ascii="Public Sans" w:eastAsia="Times New Roman" w:hAnsi="Public Sans"/>
        </w:rPr>
        <w:t xml:space="preserve">DEEP </w:t>
      </w:r>
      <w:r w:rsidR="00131601">
        <w:rPr>
          <w:rFonts w:ascii="Public Sans" w:eastAsia="Times New Roman" w:hAnsi="Public Sans"/>
        </w:rPr>
        <w:t>has</w:t>
      </w:r>
      <w:r w:rsidR="000A3C48">
        <w:rPr>
          <w:rFonts w:ascii="Public Sans" w:eastAsia="Times New Roman" w:hAnsi="Public Sans"/>
        </w:rPr>
        <w:t xml:space="preserve"> revised the SIP to </w:t>
      </w:r>
      <w:proofErr w:type="spellStart"/>
      <w:proofErr w:type="gramStart"/>
      <w:r w:rsidR="00131601">
        <w:rPr>
          <w:rFonts w:ascii="Public Sans" w:eastAsia="Times New Roman" w:hAnsi="Public Sans"/>
        </w:rPr>
        <w:t>included</w:t>
      </w:r>
      <w:proofErr w:type="spellEnd"/>
      <w:proofErr w:type="gramEnd"/>
      <w:r w:rsidR="00131601">
        <w:rPr>
          <w:rFonts w:ascii="Public Sans" w:eastAsia="Times New Roman" w:hAnsi="Public Sans"/>
        </w:rPr>
        <w:t xml:space="preserve"> a footnote and link to EPA</w:t>
      </w:r>
      <w:r w:rsidR="0084210D">
        <w:rPr>
          <w:rFonts w:ascii="Public Sans" w:eastAsia="Times New Roman" w:hAnsi="Public Sans"/>
        </w:rPr>
        <w:t>’s</w:t>
      </w:r>
      <w:r w:rsidR="00131601">
        <w:rPr>
          <w:rFonts w:ascii="Public Sans" w:eastAsia="Times New Roman" w:hAnsi="Public Sans"/>
        </w:rPr>
        <w:t xml:space="preserve"> design value tool at the end of the last paragraph on page 10 </w:t>
      </w:r>
      <w:r w:rsidR="000A3C48">
        <w:rPr>
          <w:rFonts w:ascii="Public Sans" w:eastAsia="Times New Roman" w:hAnsi="Public Sans"/>
        </w:rPr>
        <w:t>introducing the graphs.</w:t>
      </w:r>
      <w:r w:rsidR="00131601">
        <w:rPr>
          <w:rFonts w:ascii="Public Sans" w:eastAsia="Times New Roman" w:hAnsi="Public Sans"/>
        </w:rPr>
        <w:t xml:space="preserve"> The footnote reads: “Design values can be found at EPA’s website: </w:t>
      </w:r>
      <w:hyperlink r:id="rId12" w:history="1">
        <w:r w:rsidR="00B8457A">
          <w:rPr>
            <w:rStyle w:val="Hyperlink"/>
          </w:rPr>
          <w:t>Design Value Interactive Tool | US EPA</w:t>
        </w:r>
      </w:hyperlink>
      <w:bookmarkEnd w:id="0"/>
      <w:r w:rsidR="00B8457A">
        <w:t>”</w:t>
      </w:r>
    </w:p>
    <w:p w14:paraId="1C8F4752" w14:textId="77777777" w:rsidR="005D28F4" w:rsidRDefault="005D28F4" w:rsidP="005D28F4">
      <w:pPr>
        <w:ind w:left="720"/>
        <w:textAlignment w:val="baseline"/>
        <w:rPr>
          <w:rFonts w:ascii="Public Sans" w:hAnsi="Public Sans"/>
        </w:rPr>
      </w:pPr>
    </w:p>
    <w:tbl>
      <w:tblPr>
        <w:tblpPr w:leftFromText="180" w:rightFromText="180" w:vertAnchor="text" w:horzAnchor="margin" w:tblpXSpec="center" w:tblpY="-50"/>
        <w:tblW w:w="8720" w:type="dxa"/>
        <w:tblLook w:val="04A0" w:firstRow="1" w:lastRow="0" w:firstColumn="1" w:lastColumn="0" w:noHBand="0" w:noVBand="1"/>
      </w:tblPr>
      <w:tblGrid>
        <w:gridCol w:w="840"/>
        <w:gridCol w:w="1040"/>
        <w:gridCol w:w="900"/>
        <w:gridCol w:w="1080"/>
        <w:gridCol w:w="900"/>
        <w:gridCol w:w="1080"/>
        <w:gridCol w:w="900"/>
        <w:gridCol w:w="1080"/>
        <w:gridCol w:w="900"/>
      </w:tblGrid>
      <w:tr w:rsidR="00794BC1" w:rsidRPr="005D28F4" w14:paraId="718B6020" w14:textId="77777777" w:rsidTr="00794BC1">
        <w:trPr>
          <w:trHeight w:val="430"/>
        </w:trPr>
        <w:tc>
          <w:tcPr>
            <w:tcW w:w="840" w:type="dxa"/>
            <w:tcBorders>
              <w:top w:val="single" w:sz="8" w:space="0" w:color="auto"/>
              <w:left w:val="single" w:sz="8" w:space="0" w:color="auto"/>
              <w:bottom w:val="nil"/>
              <w:right w:val="nil"/>
            </w:tcBorders>
            <w:shd w:val="clear" w:color="000000" w:fill="F2F2F2"/>
            <w:noWrap/>
            <w:vAlign w:val="bottom"/>
            <w:hideMark/>
          </w:tcPr>
          <w:p w14:paraId="3FAFCDBC"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c>
          <w:tcPr>
            <w:tcW w:w="1940" w:type="dxa"/>
            <w:gridSpan w:val="2"/>
            <w:tcBorders>
              <w:top w:val="single" w:sz="8" w:space="0" w:color="auto"/>
              <w:left w:val="single" w:sz="8" w:space="0" w:color="auto"/>
              <w:bottom w:val="nil"/>
              <w:right w:val="single" w:sz="8" w:space="0" w:color="000000"/>
            </w:tcBorders>
            <w:shd w:val="clear" w:color="000000" w:fill="F2F2F2"/>
            <w:vAlign w:val="center"/>
            <w:hideMark/>
          </w:tcPr>
          <w:p w14:paraId="567480EF"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Bridgeport                     09-001-0010</w:t>
            </w:r>
          </w:p>
        </w:tc>
        <w:tc>
          <w:tcPr>
            <w:tcW w:w="1980" w:type="dxa"/>
            <w:gridSpan w:val="2"/>
            <w:tcBorders>
              <w:top w:val="single" w:sz="8" w:space="0" w:color="auto"/>
              <w:left w:val="nil"/>
              <w:bottom w:val="nil"/>
              <w:right w:val="nil"/>
            </w:tcBorders>
            <w:shd w:val="clear" w:color="000000" w:fill="F2F2F2"/>
            <w:vAlign w:val="center"/>
            <w:hideMark/>
          </w:tcPr>
          <w:p w14:paraId="4E833048"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Danbury                        09-001-1123</w:t>
            </w:r>
          </w:p>
        </w:tc>
        <w:tc>
          <w:tcPr>
            <w:tcW w:w="1980" w:type="dxa"/>
            <w:gridSpan w:val="2"/>
            <w:tcBorders>
              <w:top w:val="single" w:sz="8" w:space="0" w:color="auto"/>
              <w:left w:val="single" w:sz="8" w:space="0" w:color="auto"/>
              <w:bottom w:val="nil"/>
              <w:right w:val="single" w:sz="8" w:space="0" w:color="000000"/>
            </w:tcBorders>
            <w:shd w:val="clear" w:color="000000" w:fill="F2F2F2"/>
            <w:vAlign w:val="center"/>
            <w:hideMark/>
          </w:tcPr>
          <w:p w14:paraId="19E023BC"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 xml:space="preserve">New Haven </w:t>
            </w:r>
            <w:proofErr w:type="spellStart"/>
            <w:r w:rsidRPr="005D28F4">
              <w:rPr>
                <w:rFonts w:eastAsia="Times New Roman" w:cs="Calibri"/>
                <w:b/>
                <w:bCs/>
                <w:color w:val="000000"/>
                <w:sz w:val="18"/>
                <w:szCs w:val="18"/>
              </w:rPr>
              <w:t>Criscuolo</w:t>
            </w:r>
            <w:proofErr w:type="spellEnd"/>
            <w:r w:rsidRPr="005D28F4">
              <w:rPr>
                <w:rFonts w:eastAsia="Times New Roman" w:cs="Calibri"/>
                <w:b/>
                <w:bCs/>
                <w:color w:val="000000"/>
                <w:sz w:val="18"/>
                <w:szCs w:val="18"/>
              </w:rPr>
              <w:t xml:space="preserve">        09-009-0027</w:t>
            </w:r>
          </w:p>
        </w:tc>
        <w:tc>
          <w:tcPr>
            <w:tcW w:w="1980" w:type="dxa"/>
            <w:gridSpan w:val="2"/>
            <w:tcBorders>
              <w:top w:val="single" w:sz="8" w:space="0" w:color="auto"/>
              <w:left w:val="nil"/>
              <w:bottom w:val="nil"/>
              <w:right w:val="single" w:sz="8" w:space="0" w:color="000000"/>
            </w:tcBorders>
            <w:shd w:val="clear" w:color="000000" w:fill="F2F2F2"/>
            <w:vAlign w:val="center"/>
            <w:hideMark/>
          </w:tcPr>
          <w:p w14:paraId="46C7942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Waterbury                        09-009-2123</w:t>
            </w:r>
          </w:p>
        </w:tc>
      </w:tr>
      <w:tr w:rsidR="00794BC1" w:rsidRPr="005D28F4" w14:paraId="4935BD68" w14:textId="77777777" w:rsidTr="00794BC1">
        <w:trPr>
          <w:trHeight w:val="315"/>
        </w:trPr>
        <w:tc>
          <w:tcPr>
            <w:tcW w:w="84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0AF3A22A"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Year</w:t>
            </w:r>
          </w:p>
        </w:tc>
        <w:tc>
          <w:tcPr>
            <w:tcW w:w="1040" w:type="dxa"/>
            <w:tcBorders>
              <w:top w:val="single" w:sz="8" w:space="0" w:color="auto"/>
              <w:left w:val="nil"/>
              <w:bottom w:val="single" w:sz="4" w:space="0" w:color="auto"/>
              <w:right w:val="single" w:sz="4" w:space="0" w:color="auto"/>
            </w:tcBorders>
            <w:shd w:val="clear" w:color="000000" w:fill="F2F2F2"/>
            <w:noWrap/>
            <w:vAlign w:val="bottom"/>
            <w:hideMark/>
          </w:tcPr>
          <w:p w14:paraId="3FA0E685"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Annual DV</w:t>
            </w:r>
          </w:p>
        </w:tc>
        <w:tc>
          <w:tcPr>
            <w:tcW w:w="900" w:type="dxa"/>
            <w:tcBorders>
              <w:top w:val="single" w:sz="8" w:space="0" w:color="auto"/>
              <w:left w:val="nil"/>
              <w:bottom w:val="single" w:sz="4" w:space="0" w:color="auto"/>
              <w:right w:val="single" w:sz="8" w:space="0" w:color="auto"/>
            </w:tcBorders>
            <w:shd w:val="clear" w:color="000000" w:fill="F2F2F2"/>
            <w:noWrap/>
            <w:vAlign w:val="bottom"/>
            <w:hideMark/>
          </w:tcPr>
          <w:p w14:paraId="1AB85E2D"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24-hr DV</w:t>
            </w:r>
          </w:p>
        </w:tc>
        <w:tc>
          <w:tcPr>
            <w:tcW w:w="1080" w:type="dxa"/>
            <w:tcBorders>
              <w:top w:val="single" w:sz="8" w:space="0" w:color="auto"/>
              <w:left w:val="nil"/>
              <w:bottom w:val="single" w:sz="4" w:space="0" w:color="auto"/>
              <w:right w:val="single" w:sz="4" w:space="0" w:color="auto"/>
            </w:tcBorders>
            <w:shd w:val="clear" w:color="000000" w:fill="F2F2F2"/>
            <w:noWrap/>
            <w:vAlign w:val="bottom"/>
            <w:hideMark/>
          </w:tcPr>
          <w:p w14:paraId="2E01A05E"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Annual DV</w:t>
            </w:r>
          </w:p>
        </w:tc>
        <w:tc>
          <w:tcPr>
            <w:tcW w:w="900" w:type="dxa"/>
            <w:tcBorders>
              <w:top w:val="single" w:sz="8" w:space="0" w:color="auto"/>
              <w:left w:val="nil"/>
              <w:bottom w:val="nil"/>
              <w:right w:val="nil"/>
            </w:tcBorders>
            <w:shd w:val="clear" w:color="000000" w:fill="F2F2F2"/>
            <w:noWrap/>
            <w:vAlign w:val="bottom"/>
            <w:hideMark/>
          </w:tcPr>
          <w:p w14:paraId="0F71FC9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24-hr DV</w:t>
            </w:r>
          </w:p>
        </w:tc>
        <w:tc>
          <w:tcPr>
            <w:tcW w:w="1080"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22F3B014"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Annual DV</w:t>
            </w:r>
          </w:p>
        </w:tc>
        <w:tc>
          <w:tcPr>
            <w:tcW w:w="900" w:type="dxa"/>
            <w:tcBorders>
              <w:top w:val="single" w:sz="8" w:space="0" w:color="auto"/>
              <w:left w:val="nil"/>
              <w:bottom w:val="single" w:sz="4" w:space="0" w:color="auto"/>
              <w:right w:val="single" w:sz="8" w:space="0" w:color="auto"/>
            </w:tcBorders>
            <w:shd w:val="clear" w:color="000000" w:fill="F2F2F2"/>
            <w:noWrap/>
            <w:vAlign w:val="bottom"/>
            <w:hideMark/>
          </w:tcPr>
          <w:p w14:paraId="79B6C1D5"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24-hr DV</w:t>
            </w:r>
          </w:p>
        </w:tc>
        <w:tc>
          <w:tcPr>
            <w:tcW w:w="1080" w:type="dxa"/>
            <w:tcBorders>
              <w:top w:val="single" w:sz="8" w:space="0" w:color="auto"/>
              <w:left w:val="nil"/>
              <w:bottom w:val="single" w:sz="4" w:space="0" w:color="auto"/>
              <w:right w:val="single" w:sz="4" w:space="0" w:color="auto"/>
            </w:tcBorders>
            <w:shd w:val="clear" w:color="000000" w:fill="F2F2F2"/>
            <w:noWrap/>
            <w:vAlign w:val="bottom"/>
            <w:hideMark/>
          </w:tcPr>
          <w:p w14:paraId="73370F0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Annual DV</w:t>
            </w:r>
          </w:p>
        </w:tc>
        <w:tc>
          <w:tcPr>
            <w:tcW w:w="900" w:type="dxa"/>
            <w:tcBorders>
              <w:top w:val="single" w:sz="8" w:space="0" w:color="auto"/>
              <w:left w:val="nil"/>
              <w:bottom w:val="single" w:sz="4" w:space="0" w:color="auto"/>
              <w:right w:val="single" w:sz="8" w:space="0" w:color="auto"/>
            </w:tcBorders>
            <w:shd w:val="clear" w:color="000000" w:fill="F2F2F2"/>
            <w:noWrap/>
            <w:vAlign w:val="bottom"/>
            <w:hideMark/>
          </w:tcPr>
          <w:p w14:paraId="224842C1"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24-hr DV</w:t>
            </w:r>
          </w:p>
        </w:tc>
      </w:tr>
      <w:tr w:rsidR="00794BC1" w:rsidRPr="005D28F4" w14:paraId="6B453A2F" w14:textId="77777777" w:rsidTr="00794BC1">
        <w:trPr>
          <w:trHeight w:val="185"/>
        </w:trPr>
        <w:tc>
          <w:tcPr>
            <w:tcW w:w="840" w:type="dxa"/>
            <w:tcBorders>
              <w:top w:val="nil"/>
              <w:left w:val="single" w:sz="8" w:space="0" w:color="auto"/>
              <w:bottom w:val="nil"/>
              <w:right w:val="single" w:sz="4" w:space="0" w:color="auto"/>
            </w:tcBorders>
            <w:shd w:val="clear" w:color="auto" w:fill="auto"/>
            <w:noWrap/>
            <w:vAlign w:val="bottom"/>
            <w:hideMark/>
          </w:tcPr>
          <w:p w14:paraId="2DB009B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2001</w:t>
            </w:r>
          </w:p>
        </w:tc>
        <w:tc>
          <w:tcPr>
            <w:tcW w:w="1040" w:type="dxa"/>
            <w:tcBorders>
              <w:top w:val="single" w:sz="4" w:space="0" w:color="auto"/>
              <w:left w:val="single" w:sz="4" w:space="0" w:color="auto"/>
              <w:bottom w:val="nil"/>
              <w:right w:val="single" w:sz="4" w:space="0" w:color="auto"/>
            </w:tcBorders>
            <w:shd w:val="clear" w:color="auto" w:fill="auto"/>
            <w:noWrap/>
            <w:vAlign w:val="bottom"/>
            <w:hideMark/>
          </w:tcPr>
          <w:p w14:paraId="5571572B"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13.6</w:t>
            </w:r>
          </w:p>
        </w:tc>
        <w:tc>
          <w:tcPr>
            <w:tcW w:w="900" w:type="dxa"/>
            <w:tcBorders>
              <w:top w:val="single" w:sz="4" w:space="0" w:color="auto"/>
              <w:left w:val="single" w:sz="4" w:space="0" w:color="auto"/>
              <w:bottom w:val="nil"/>
              <w:right w:val="single" w:sz="4" w:space="0" w:color="auto"/>
            </w:tcBorders>
            <w:shd w:val="clear" w:color="auto" w:fill="auto"/>
            <w:noWrap/>
            <w:vAlign w:val="bottom"/>
            <w:hideMark/>
          </w:tcPr>
          <w:p w14:paraId="7829F47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38</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7C94965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12.8</w:t>
            </w:r>
          </w:p>
        </w:tc>
        <w:tc>
          <w:tcPr>
            <w:tcW w:w="900" w:type="dxa"/>
            <w:tcBorders>
              <w:top w:val="single" w:sz="8" w:space="0" w:color="auto"/>
              <w:left w:val="single" w:sz="4" w:space="0" w:color="auto"/>
              <w:bottom w:val="nil"/>
              <w:right w:val="single" w:sz="4" w:space="0" w:color="auto"/>
            </w:tcBorders>
            <w:shd w:val="clear" w:color="auto" w:fill="auto"/>
            <w:noWrap/>
            <w:vAlign w:val="bottom"/>
            <w:hideMark/>
          </w:tcPr>
          <w:p w14:paraId="6B58F72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4F0E61C4"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c>
          <w:tcPr>
            <w:tcW w:w="900" w:type="dxa"/>
            <w:tcBorders>
              <w:top w:val="single" w:sz="4" w:space="0" w:color="auto"/>
              <w:left w:val="single" w:sz="4" w:space="0" w:color="auto"/>
              <w:bottom w:val="nil"/>
              <w:right w:val="single" w:sz="4" w:space="0" w:color="auto"/>
            </w:tcBorders>
            <w:shd w:val="clear" w:color="auto" w:fill="auto"/>
            <w:noWrap/>
            <w:vAlign w:val="bottom"/>
            <w:hideMark/>
          </w:tcPr>
          <w:p w14:paraId="75C98ADF"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4FE171B7"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13.6</w:t>
            </w:r>
          </w:p>
        </w:tc>
        <w:tc>
          <w:tcPr>
            <w:tcW w:w="900" w:type="dxa"/>
            <w:tcBorders>
              <w:top w:val="single" w:sz="4" w:space="0" w:color="auto"/>
              <w:left w:val="single" w:sz="4" w:space="0" w:color="auto"/>
              <w:bottom w:val="nil"/>
              <w:right w:val="single" w:sz="4" w:space="0" w:color="auto"/>
            </w:tcBorders>
            <w:shd w:val="clear" w:color="auto" w:fill="auto"/>
            <w:noWrap/>
            <w:vAlign w:val="bottom"/>
            <w:hideMark/>
          </w:tcPr>
          <w:p w14:paraId="16D4581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36</w:t>
            </w:r>
          </w:p>
        </w:tc>
      </w:tr>
      <w:tr w:rsidR="00794BC1" w:rsidRPr="005D28F4" w14:paraId="19EAC0C3" w14:textId="77777777" w:rsidTr="00794BC1">
        <w:trPr>
          <w:trHeight w:val="232"/>
        </w:trPr>
        <w:tc>
          <w:tcPr>
            <w:tcW w:w="840" w:type="dxa"/>
            <w:tcBorders>
              <w:top w:val="nil"/>
              <w:left w:val="single" w:sz="8" w:space="0" w:color="auto"/>
              <w:bottom w:val="nil"/>
              <w:right w:val="single" w:sz="4" w:space="0" w:color="auto"/>
            </w:tcBorders>
            <w:shd w:val="clear" w:color="auto" w:fill="auto"/>
            <w:noWrap/>
            <w:vAlign w:val="bottom"/>
            <w:hideMark/>
          </w:tcPr>
          <w:p w14:paraId="59D5FB42"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2002</w:t>
            </w:r>
          </w:p>
        </w:tc>
        <w:tc>
          <w:tcPr>
            <w:tcW w:w="1040" w:type="dxa"/>
            <w:tcBorders>
              <w:top w:val="nil"/>
              <w:left w:val="single" w:sz="4" w:space="0" w:color="auto"/>
              <w:bottom w:val="nil"/>
              <w:right w:val="single" w:sz="4" w:space="0" w:color="auto"/>
            </w:tcBorders>
            <w:shd w:val="clear" w:color="auto" w:fill="auto"/>
            <w:noWrap/>
            <w:vAlign w:val="bottom"/>
            <w:hideMark/>
          </w:tcPr>
          <w:p w14:paraId="0114F94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13.4</w:t>
            </w:r>
          </w:p>
        </w:tc>
        <w:tc>
          <w:tcPr>
            <w:tcW w:w="900" w:type="dxa"/>
            <w:tcBorders>
              <w:top w:val="nil"/>
              <w:left w:val="single" w:sz="4" w:space="0" w:color="auto"/>
              <w:bottom w:val="nil"/>
              <w:right w:val="single" w:sz="4" w:space="0" w:color="auto"/>
            </w:tcBorders>
            <w:shd w:val="clear" w:color="auto" w:fill="auto"/>
            <w:noWrap/>
            <w:vAlign w:val="bottom"/>
            <w:hideMark/>
          </w:tcPr>
          <w:p w14:paraId="1CAB0A2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38</w:t>
            </w:r>
          </w:p>
        </w:tc>
        <w:tc>
          <w:tcPr>
            <w:tcW w:w="1080" w:type="dxa"/>
            <w:tcBorders>
              <w:top w:val="nil"/>
              <w:left w:val="single" w:sz="4" w:space="0" w:color="auto"/>
              <w:bottom w:val="nil"/>
              <w:right w:val="single" w:sz="4" w:space="0" w:color="auto"/>
            </w:tcBorders>
            <w:shd w:val="clear" w:color="auto" w:fill="auto"/>
            <w:noWrap/>
            <w:vAlign w:val="bottom"/>
            <w:hideMark/>
          </w:tcPr>
          <w:p w14:paraId="68B073D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12.8</w:t>
            </w:r>
          </w:p>
        </w:tc>
        <w:tc>
          <w:tcPr>
            <w:tcW w:w="900" w:type="dxa"/>
            <w:tcBorders>
              <w:top w:val="nil"/>
              <w:left w:val="single" w:sz="4" w:space="0" w:color="auto"/>
              <w:bottom w:val="nil"/>
              <w:right w:val="single" w:sz="4" w:space="0" w:color="auto"/>
            </w:tcBorders>
            <w:shd w:val="clear" w:color="auto" w:fill="auto"/>
            <w:noWrap/>
            <w:vAlign w:val="bottom"/>
            <w:hideMark/>
          </w:tcPr>
          <w:p w14:paraId="545830D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c>
          <w:tcPr>
            <w:tcW w:w="1080" w:type="dxa"/>
            <w:tcBorders>
              <w:top w:val="nil"/>
              <w:left w:val="single" w:sz="4" w:space="0" w:color="auto"/>
              <w:bottom w:val="nil"/>
              <w:right w:val="single" w:sz="4" w:space="0" w:color="auto"/>
            </w:tcBorders>
            <w:shd w:val="clear" w:color="auto" w:fill="auto"/>
            <w:noWrap/>
            <w:vAlign w:val="bottom"/>
            <w:hideMark/>
          </w:tcPr>
          <w:p w14:paraId="56569FB1"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54391F3E" w14:textId="77777777" w:rsidR="00794BC1" w:rsidRPr="005D28F4" w:rsidRDefault="00794BC1" w:rsidP="00794BC1">
            <w:pPr>
              <w:rPr>
                <w:rFonts w:ascii="Times New Roman" w:eastAsia="Times New Roman" w:hAnsi="Times New Roman"/>
                <w:sz w:val="20"/>
                <w:szCs w:val="20"/>
              </w:rPr>
            </w:pPr>
          </w:p>
        </w:tc>
        <w:tc>
          <w:tcPr>
            <w:tcW w:w="1080" w:type="dxa"/>
            <w:tcBorders>
              <w:top w:val="nil"/>
              <w:left w:val="single" w:sz="4" w:space="0" w:color="auto"/>
              <w:bottom w:val="nil"/>
              <w:right w:val="single" w:sz="4" w:space="0" w:color="auto"/>
            </w:tcBorders>
            <w:shd w:val="clear" w:color="auto" w:fill="auto"/>
            <w:noWrap/>
            <w:vAlign w:val="bottom"/>
            <w:hideMark/>
          </w:tcPr>
          <w:p w14:paraId="2E70747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13.6</w:t>
            </w:r>
          </w:p>
        </w:tc>
        <w:tc>
          <w:tcPr>
            <w:tcW w:w="900" w:type="dxa"/>
            <w:tcBorders>
              <w:top w:val="nil"/>
              <w:left w:val="single" w:sz="4" w:space="0" w:color="auto"/>
              <w:bottom w:val="nil"/>
              <w:right w:val="single" w:sz="4" w:space="0" w:color="auto"/>
            </w:tcBorders>
            <w:shd w:val="clear" w:color="auto" w:fill="auto"/>
            <w:noWrap/>
            <w:vAlign w:val="bottom"/>
            <w:hideMark/>
          </w:tcPr>
          <w:p w14:paraId="2B3135D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34</w:t>
            </w:r>
          </w:p>
        </w:tc>
      </w:tr>
      <w:tr w:rsidR="00794BC1" w:rsidRPr="005D28F4" w14:paraId="61E18A7B" w14:textId="77777777" w:rsidTr="00794BC1">
        <w:trPr>
          <w:trHeight w:val="178"/>
        </w:trPr>
        <w:tc>
          <w:tcPr>
            <w:tcW w:w="840" w:type="dxa"/>
            <w:tcBorders>
              <w:top w:val="nil"/>
              <w:left w:val="single" w:sz="8" w:space="0" w:color="auto"/>
              <w:bottom w:val="nil"/>
              <w:right w:val="single" w:sz="4" w:space="0" w:color="auto"/>
            </w:tcBorders>
            <w:shd w:val="clear" w:color="auto" w:fill="auto"/>
            <w:noWrap/>
            <w:vAlign w:val="bottom"/>
            <w:hideMark/>
          </w:tcPr>
          <w:p w14:paraId="5DF1BBE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2003</w:t>
            </w:r>
          </w:p>
        </w:tc>
        <w:tc>
          <w:tcPr>
            <w:tcW w:w="1040" w:type="dxa"/>
            <w:tcBorders>
              <w:top w:val="nil"/>
              <w:left w:val="single" w:sz="4" w:space="0" w:color="auto"/>
              <w:bottom w:val="nil"/>
              <w:right w:val="single" w:sz="4" w:space="0" w:color="auto"/>
            </w:tcBorders>
            <w:shd w:val="clear" w:color="auto" w:fill="auto"/>
            <w:noWrap/>
            <w:vAlign w:val="bottom"/>
            <w:hideMark/>
          </w:tcPr>
          <w:p w14:paraId="1DC25633"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c>
          <w:tcPr>
            <w:tcW w:w="900" w:type="dxa"/>
            <w:tcBorders>
              <w:top w:val="nil"/>
              <w:left w:val="single" w:sz="4" w:space="0" w:color="auto"/>
              <w:bottom w:val="nil"/>
              <w:right w:val="single" w:sz="4" w:space="0" w:color="auto"/>
            </w:tcBorders>
            <w:shd w:val="clear" w:color="auto" w:fill="auto"/>
            <w:noWrap/>
            <w:vAlign w:val="bottom"/>
            <w:hideMark/>
          </w:tcPr>
          <w:p w14:paraId="4371AEBB"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38</w:t>
            </w:r>
          </w:p>
        </w:tc>
        <w:tc>
          <w:tcPr>
            <w:tcW w:w="1080" w:type="dxa"/>
            <w:tcBorders>
              <w:top w:val="nil"/>
              <w:left w:val="single" w:sz="4" w:space="0" w:color="auto"/>
              <w:bottom w:val="nil"/>
              <w:right w:val="single" w:sz="4" w:space="0" w:color="auto"/>
            </w:tcBorders>
            <w:shd w:val="clear" w:color="auto" w:fill="auto"/>
            <w:noWrap/>
            <w:vAlign w:val="bottom"/>
            <w:hideMark/>
          </w:tcPr>
          <w:p w14:paraId="7B490B5B"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3C45909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34</w:t>
            </w:r>
          </w:p>
        </w:tc>
        <w:tc>
          <w:tcPr>
            <w:tcW w:w="1080" w:type="dxa"/>
            <w:tcBorders>
              <w:top w:val="nil"/>
              <w:left w:val="single" w:sz="4" w:space="0" w:color="auto"/>
              <w:bottom w:val="nil"/>
              <w:right w:val="single" w:sz="4" w:space="0" w:color="auto"/>
            </w:tcBorders>
            <w:shd w:val="clear" w:color="auto" w:fill="auto"/>
            <w:noWrap/>
            <w:vAlign w:val="bottom"/>
            <w:hideMark/>
          </w:tcPr>
          <w:p w14:paraId="53C8549B"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4762AC27" w14:textId="77777777" w:rsidR="00794BC1" w:rsidRPr="005D28F4" w:rsidRDefault="00794BC1" w:rsidP="00794BC1">
            <w:pPr>
              <w:rPr>
                <w:rFonts w:ascii="Times New Roman" w:eastAsia="Times New Roman" w:hAnsi="Times New Roman"/>
                <w:sz w:val="20"/>
                <w:szCs w:val="20"/>
              </w:rPr>
            </w:pPr>
          </w:p>
        </w:tc>
        <w:tc>
          <w:tcPr>
            <w:tcW w:w="1080" w:type="dxa"/>
            <w:tcBorders>
              <w:top w:val="nil"/>
              <w:left w:val="single" w:sz="4" w:space="0" w:color="auto"/>
              <w:bottom w:val="nil"/>
              <w:right w:val="single" w:sz="4" w:space="0" w:color="auto"/>
            </w:tcBorders>
            <w:shd w:val="clear" w:color="auto" w:fill="auto"/>
            <w:noWrap/>
            <w:vAlign w:val="bottom"/>
            <w:hideMark/>
          </w:tcPr>
          <w:p w14:paraId="2F7338F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13.2</w:t>
            </w:r>
          </w:p>
        </w:tc>
        <w:tc>
          <w:tcPr>
            <w:tcW w:w="900" w:type="dxa"/>
            <w:tcBorders>
              <w:top w:val="nil"/>
              <w:left w:val="single" w:sz="4" w:space="0" w:color="auto"/>
              <w:bottom w:val="nil"/>
              <w:right w:val="single" w:sz="4" w:space="0" w:color="auto"/>
            </w:tcBorders>
            <w:shd w:val="clear" w:color="auto" w:fill="auto"/>
            <w:noWrap/>
            <w:vAlign w:val="bottom"/>
            <w:hideMark/>
          </w:tcPr>
          <w:p w14:paraId="725C818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35</w:t>
            </w:r>
          </w:p>
        </w:tc>
      </w:tr>
      <w:tr w:rsidR="00794BC1" w:rsidRPr="005D28F4" w14:paraId="788A16E3" w14:textId="77777777" w:rsidTr="00794BC1">
        <w:trPr>
          <w:trHeight w:val="133"/>
        </w:trPr>
        <w:tc>
          <w:tcPr>
            <w:tcW w:w="840" w:type="dxa"/>
            <w:tcBorders>
              <w:top w:val="nil"/>
              <w:left w:val="single" w:sz="8" w:space="0" w:color="auto"/>
              <w:bottom w:val="nil"/>
              <w:right w:val="single" w:sz="4" w:space="0" w:color="auto"/>
            </w:tcBorders>
            <w:shd w:val="clear" w:color="auto" w:fill="auto"/>
            <w:noWrap/>
            <w:vAlign w:val="bottom"/>
            <w:hideMark/>
          </w:tcPr>
          <w:p w14:paraId="248A6F52"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2004</w:t>
            </w:r>
          </w:p>
        </w:tc>
        <w:tc>
          <w:tcPr>
            <w:tcW w:w="1040" w:type="dxa"/>
            <w:tcBorders>
              <w:top w:val="nil"/>
              <w:left w:val="single" w:sz="4" w:space="0" w:color="auto"/>
              <w:bottom w:val="nil"/>
              <w:right w:val="single" w:sz="4" w:space="0" w:color="auto"/>
            </w:tcBorders>
            <w:shd w:val="clear" w:color="auto" w:fill="auto"/>
            <w:noWrap/>
            <w:vAlign w:val="bottom"/>
            <w:hideMark/>
          </w:tcPr>
          <w:p w14:paraId="6DDD6012"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c>
          <w:tcPr>
            <w:tcW w:w="900" w:type="dxa"/>
            <w:tcBorders>
              <w:top w:val="nil"/>
              <w:left w:val="single" w:sz="4" w:space="0" w:color="auto"/>
              <w:bottom w:val="nil"/>
              <w:right w:val="single" w:sz="4" w:space="0" w:color="auto"/>
            </w:tcBorders>
            <w:shd w:val="clear" w:color="auto" w:fill="auto"/>
            <w:noWrap/>
            <w:vAlign w:val="bottom"/>
            <w:hideMark/>
          </w:tcPr>
          <w:p w14:paraId="60BB971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36</w:t>
            </w:r>
          </w:p>
        </w:tc>
        <w:tc>
          <w:tcPr>
            <w:tcW w:w="1080" w:type="dxa"/>
            <w:tcBorders>
              <w:top w:val="nil"/>
              <w:left w:val="single" w:sz="4" w:space="0" w:color="auto"/>
              <w:bottom w:val="nil"/>
              <w:right w:val="single" w:sz="4" w:space="0" w:color="auto"/>
            </w:tcBorders>
            <w:shd w:val="clear" w:color="auto" w:fill="auto"/>
            <w:noWrap/>
            <w:vAlign w:val="bottom"/>
            <w:hideMark/>
          </w:tcPr>
          <w:p w14:paraId="17A00D46"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7229E79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32</w:t>
            </w:r>
          </w:p>
        </w:tc>
        <w:tc>
          <w:tcPr>
            <w:tcW w:w="1080" w:type="dxa"/>
            <w:tcBorders>
              <w:top w:val="nil"/>
              <w:left w:val="single" w:sz="4" w:space="0" w:color="auto"/>
              <w:bottom w:val="nil"/>
              <w:right w:val="single" w:sz="4" w:space="0" w:color="auto"/>
            </w:tcBorders>
            <w:shd w:val="clear" w:color="auto" w:fill="auto"/>
            <w:noWrap/>
            <w:vAlign w:val="bottom"/>
            <w:hideMark/>
          </w:tcPr>
          <w:p w14:paraId="4CA61EF6"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1BFEA97F" w14:textId="77777777" w:rsidR="00794BC1" w:rsidRPr="005D28F4" w:rsidRDefault="00794BC1" w:rsidP="00794BC1">
            <w:pPr>
              <w:rPr>
                <w:rFonts w:ascii="Times New Roman" w:eastAsia="Times New Roman" w:hAnsi="Times New Roman"/>
                <w:sz w:val="20"/>
                <w:szCs w:val="20"/>
              </w:rPr>
            </w:pPr>
          </w:p>
        </w:tc>
        <w:tc>
          <w:tcPr>
            <w:tcW w:w="1080" w:type="dxa"/>
            <w:tcBorders>
              <w:top w:val="nil"/>
              <w:left w:val="single" w:sz="4" w:space="0" w:color="auto"/>
              <w:bottom w:val="nil"/>
              <w:right w:val="single" w:sz="4" w:space="0" w:color="auto"/>
            </w:tcBorders>
            <w:shd w:val="clear" w:color="auto" w:fill="auto"/>
            <w:noWrap/>
            <w:vAlign w:val="bottom"/>
            <w:hideMark/>
          </w:tcPr>
          <w:p w14:paraId="13B936B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12.6</w:t>
            </w:r>
          </w:p>
        </w:tc>
        <w:tc>
          <w:tcPr>
            <w:tcW w:w="900" w:type="dxa"/>
            <w:tcBorders>
              <w:top w:val="nil"/>
              <w:left w:val="single" w:sz="4" w:space="0" w:color="auto"/>
              <w:bottom w:val="nil"/>
              <w:right w:val="single" w:sz="4" w:space="0" w:color="auto"/>
            </w:tcBorders>
            <w:shd w:val="clear" w:color="auto" w:fill="auto"/>
            <w:noWrap/>
            <w:vAlign w:val="bottom"/>
            <w:hideMark/>
          </w:tcPr>
          <w:p w14:paraId="4374F28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34</w:t>
            </w:r>
          </w:p>
        </w:tc>
      </w:tr>
      <w:tr w:rsidR="00794BC1" w:rsidRPr="005D28F4" w14:paraId="060909BE"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649CF27B"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2005</w:t>
            </w:r>
          </w:p>
        </w:tc>
        <w:tc>
          <w:tcPr>
            <w:tcW w:w="1040" w:type="dxa"/>
            <w:tcBorders>
              <w:top w:val="nil"/>
              <w:left w:val="single" w:sz="4" w:space="0" w:color="auto"/>
              <w:bottom w:val="nil"/>
              <w:right w:val="single" w:sz="4" w:space="0" w:color="auto"/>
            </w:tcBorders>
            <w:shd w:val="clear" w:color="auto" w:fill="auto"/>
            <w:noWrap/>
            <w:vAlign w:val="bottom"/>
            <w:hideMark/>
          </w:tcPr>
          <w:p w14:paraId="740F47C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13.3</w:t>
            </w:r>
          </w:p>
        </w:tc>
        <w:tc>
          <w:tcPr>
            <w:tcW w:w="900" w:type="dxa"/>
            <w:tcBorders>
              <w:top w:val="nil"/>
              <w:left w:val="single" w:sz="4" w:space="0" w:color="auto"/>
              <w:bottom w:val="nil"/>
              <w:right w:val="single" w:sz="4" w:space="0" w:color="auto"/>
            </w:tcBorders>
            <w:shd w:val="clear" w:color="auto" w:fill="auto"/>
            <w:noWrap/>
            <w:vAlign w:val="bottom"/>
            <w:hideMark/>
          </w:tcPr>
          <w:p w14:paraId="09426BA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37</w:t>
            </w:r>
          </w:p>
        </w:tc>
        <w:tc>
          <w:tcPr>
            <w:tcW w:w="1080" w:type="dxa"/>
            <w:tcBorders>
              <w:top w:val="nil"/>
              <w:left w:val="single" w:sz="4" w:space="0" w:color="auto"/>
              <w:bottom w:val="nil"/>
              <w:right w:val="single" w:sz="4" w:space="0" w:color="auto"/>
            </w:tcBorders>
            <w:shd w:val="clear" w:color="auto" w:fill="auto"/>
            <w:noWrap/>
            <w:vAlign w:val="bottom"/>
            <w:hideMark/>
          </w:tcPr>
          <w:p w14:paraId="54279F2F"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0F12A18C"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c>
          <w:tcPr>
            <w:tcW w:w="1080" w:type="dxa"/>
            <w:tcBorders>
              <w:top w:val="nil"/>
              <w:left w:val="single" w:sz="4" w:space="0" w:color="auto"/>
              <w:bottom w:val="nil"/>
              <w:right w:val="single" w:sz="4" w:space="0" w:color="auto"/>
            </w:tcBorders>
            <w:shd w:val="clear" w:color="auto" w:fill="auto"/>
            <w:noWrap/>
            <w:vAlign w:val="bottom"/>
            <w:hideMark/>
          </w:tcPr>
          <w:p w14:paraId="58CC38AC"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auto" w:fill="auto"/>
            <w:noWrap/>
            <w:vAlign w:val="bottom"/>
            <w:hideMark/>
          </w:tcPr>
          <w:p w14:paraId="2DA6FCE5" w14:textId="77777777" w:rsidR="00794BC1" w:rsidRPr="005D28F4" w:rsidRDefault="00794BC1" w:rsidP="00794BC1">
            <w:pPr>
              <w:rPr>
                <w:rFonts w:ascii="Times New Roman" w:eastAsia="Times New Roman" w:hAnsi="Times New Roman"/>
                <w:sz w:val="20"/>
                <w:szCs w:val="20"/>
              </w:rPr>
            </w:pPr>
          </w:p>
        </w:tc>
        <w:tc>
          <w:tcPr>
            <w:tcW w:w="1080" w:type="dxa"/>
            <w:tcBorders>
              <w:top w:val="nil"/>
              <w:left w:val="single" w:sz="4" w:space="0" w:color="auto"/>
              <w:bottom w:val="nil"/>
              <w:right w:val="single" w:sz="4" w:space="0" w:color="auto"/>
            </w:tcBorders>
            <w:shd w:val="clear" w:color="auto" w:fill="auto"/>
            <w:noWrap/>
            <w:vAlign w:val="bottom"/>
            <w:hideMark/>
          </w:tcPr>
          <w:p w14:paraId="7A40B1E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12.9</w:t>
            </w:r>
          </w:p>
        </w:tc>
        <w:tc>
          <w:tcPr>
            <w:tcW w:w="900" w:type="dxa"/>
            <w:tcBorders>
              <w:top w:val="nil"/>
              <w:left w:val="single" w:sz="4" w:space="0" w:color="auto"/>
              <w:bottom w:val="nil"/>
              <w:right w:val="single" w:sz="4" w:space="0" w:color="auto"/>
            </w:tcBorders>
            <w:shd w:val="clear" w:color="auto" w:fill="auto"/>
            <w:noWrap/>
            <w:vAlign w:val="bottom"/>
            <w:hideMark/>
          </w:tcPr>
          <w:p w14:paraId="1EF7086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34</w:t>
            </w:r>
          </w:p>
        </w:tc>
      </w:tr>
      <w:tr w:rsidR="00794BC1" w:rsidRPr="005D28F4" w14:paraId="05225CFC"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23C780B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2006</w:t>
            </w:r>
          </w:p>
        </w:tc>
        <w:tc>
          <w:tcPr>
            <w:tcW w:w="1040" w:type="dxa"/>
            <w:tcBorders>
              <w:top w:val="nil"/>
              <w:left w:val="single" w:sz="4" w:space="0" w:color="auto"/>
              <w:bottom w:val="nil"/>
              <w:right w:val="single" w:sz="4" w:space="0" w:color="auto"/>
            </w:tcBorders>
            <w:shd w:val="clear" w:color="auto" w:fill="auto"/>
            <w:noWrap/>
            <w:vAlign w:val="bottom"/>
            <w:hideMark/>
          </w:tcPr>
          <w:p w14:paraId="37A192EB"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13.2</w:t>
            </w:r>
          </w:p>
        </w:tc>
        <w:tc>
          <w:tcPr>
            <w:tcW w:w="900" w:type="dxa"/>
            <w:tcBorders>
              <w:top w:val="nil"/>
              <w:left w:val="single" w:sz="4" w:space="0" w:color="auto"/>
              <w:bottom w:val="nil"/>
              <w:right w:val="single" w:sz="4" w:space="0" w:color="auto"/>
            </w:tcBorders>
            <w:shd w:val="clear" w:color="auto" w:fill="auto"/>
            <w:noWrap/>
            <w:vAlign w:val="bottom"/>
            <w:hideMark/>
          </w:tcPr>
          <w:p w14:paraId="4C8E222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36</w:t>
            </w:r>
          </w:p>
        </w:tc>
        <w:tc>
          <w:tcPr>
            <w:tcW w:w="1080" w:type="dxa"/>
            <w:tcBorders>
              <w:top w:val="nil"/>
              <w:left w:val="single" w:sz="4" w:space="0" w:color="auto"/>
              <w:bottom w:val="nil"/>
              <w:right w:val="single" w:sz="4" w:space="0" w:color="auto"/>
            </w:tcBorders>
            <w:shd w:val="clear" w:color="auto" w:fill="auto"/>
            <w:noWrap/>
            <w:vAlign w:val="bottom"/>
            <w:hideMark/>
          </w:tcPr>
          <w:p w14:paraId="03C20C4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12.3</w:t>
            </w:r>
          </w:p>
        </w:tc>
        <w:tc>
          <w:tcPr>
            <w:tcW w:w="900" w:type="dxa"/>
            <w:tcBorders>
              <w:top w:val="nil"/>
              <w:left w:val="single" w:sz="4" w:space="0" w:color="auto"/>
              <w:bottom w:val="nil"/>
              <w:right w:val="single" w:sz="4" w:space="0" w:color="auto"/>
            </w:tcBorders>
            <w:shd w:val="clear" w:color="auto" w:fill="auto"/>
            <w:noWrap/>
            <w:vAlign w:val="bottom"/>
            <w:hideMark/>
          </w:tcPr>
          <w:p w14:paraId="465D401B"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32</w:t>
            </w:r>
          </w:p>
        </w:tc>
        <w:tc>
          <w:tcPr>
            <w:tcW w:w="1080" w:type="dxa"/>
            <w:tcBorders>
              <w:top w:val="nil"/>
              <w:left w:val="single" w:sz="4" w:space="0" w:color="auto"/>
              <w:bottom w:val="nil"/>
              <w:right w:val="single" w:sz="4" w:space="0" w:color="auto"/>
            </w:tcBorders>
            <w:shd w:val="clear" w:color="auto" w:fill="auto"/>
            <w:noWrap/>
            <w:vAlign w:val="bottom"/>
            <w:hideMark/>
          </w:tcPr>
          <w:p w14:paraId="0271168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12.6</w:t>
            </w:r>
          </w:p>
        </w:tc>
        <w:tc>
          <w:tcPr>
            <w:tcW w:w="900" w:type="dxa"/>
            <w:tcBorders>
              <w:top w:val="nil"/>
              <w:left w:val="single" w:sz="4" w:space="0" w:color="auto"/>
              <w:bottom w:val="nil"/>
              <w:right w:val="single" w:sz="4" w:space="0" w:color="auto"/>
            </w:tcBorders>
            <w:shd w:val="clear" w:color="auto" w:fill="auto"/>
            <w:noWrap/>
            <w:vAlign w:val="bottom"/>
            <w:hideMark/>
          </w:tcPr>
          <w:p w14:paraId="47797D1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36</w:t>
            </w:r>
          </w:p>
        </w:tc>
        <w:tc>
          <w:tcPr>
            <w:tcW w:w="1080" w:type="dxa"/>
            <w:tcBorders>
              <w:top w:val="nil"/>
              <w:left w:val="single" w:sz="4" w:space="0" w:color="auto"/>
              <w:bottom w:val="nil"/>
              <w:right w:val="single" w:sz="4" w:space="0" w:color="auto"/>
            </w:tcBorders>
            <w:shd w:val="clear" w:color="auto" w:fill="auto"/>
            <w:noWrap/>
            <w:vAlign w:val="bottom"/>
            <w:hideMark/>
          </w:tcPr>
          <w:p w14:paraId="1AC11C4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12.7</w:t>
            </w:r>
          </w:p>
        </w:tc>
        <w:tc>
          <w:tcPr>
            <w:tcW w:w="900" w:type="dxa"/>
            <w:tcBorders>
              <w:top w:val="nil"/>
              <w:left w:val="single" w:sz="4" w:space="0" w:color="auto"/>
              <w:bottom w:val="nil"/>
              <w:right w:val="single" w:sz="4" w:space="0" w:color="auto"/>
            </w:tcBorders>
            <w:shd w:val="clear" w:color="auto" w:fill="auto"/>
            <w:noWrap/>
            <w:vAlign w:val="bottom"/>
            <w:hideMark/>
          </w:tcPr>
          <w:p w14:paraId="7D6775E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r>
      <w:tr w:rsidR="00794BC1" w:rsidRPr="005D28F4" w14:paraId="314BA4A4"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1255E905"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2007</w:t>
            </w:r>
          </w:p>
        </w:tc>
        <w:tc>
          <w:tcPr>
            <w:tcW w:w="1040" w:type="dxa"/>
            <w:tcBorders>
              <w:top w:val="nil"/>
              <w:left w:val="single" w:sz="4" w:space="0" w:color="auto"/>
              <w:bottom w:val="nil"/>
              <w:right w:val="single" w:sz="4" w:space="0" w:color="auto"/>
            </w:tcBorders>
            <w:shd w:val="clear" w:color="auto" w:fill="auto"/>
            <w:noWrap/>
            <w:vAlign w:val="bottom"/>
            <w:hideMark/>
          </w:tcPr>
          <w:p w14:paraId="04D9248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13.2</w:t>
            </w:r>
          </w:p>
        </w:tc>
        <w:tc>
          <w:tcPr>
            <w:tcW w:w="900" w:type="dxa"/>
            <w:tcBorders>
              <w:top w:val="nil"/>
              <w:left w:val="single" w:sz="4" w:space="0" w:color="auto"/>
              <w:bottom w:val="nil"/>
              <w:right w:val="single" w:sz="4" w:space="0" w:color="auto"/>
            </w:tcBorders>
            <w:shd w:val="clear" w:color="auto" w:fill="auto"/>
            <w:noWrap/>
            <w:vAlign w:val="bottom"/>
            <w:hideMark/>
          </w:tcPr>
          <w:p w14:paraId="195A51D7"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35</w:t>
            </w:r>
          </w:p>
        </w:tc>
        <w:tc>
          <w:tcPr>
            <w:tcW w:w="1080" w:type="dxa"/>
            <w:tcBorders>
              <w:top w:val="nil"/>
              <w:left w:val="single" w:sz="4" w:space="0" w:color="auto"/>
              <w:bottom w:val="nil"/>
              <w:right w:val="single" w:sz="4" w:space="0" w:color="auto"/>
            </w:tcBorders>
            <w:shd w:val="clear" w:color="auto" w:fill="auto"/>
            <w:noWrap/>
            <w:vAlign w:val="bottom"/>
            <w:hideMark/>
          </w:tcPr>
          <w:p w14:paraId="39026AF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12.6</w:t>
            </w:r>
          </w:p>
        </w:tc>
        <w:tc>
          <w:tcPr>
            <w:tcW w:w="900" w:type="dxa"/>
            <w:tcBorders>
              <w:top w:val="nil"/>
              <w:left w:val="single" w:sz="4" w:space="0" w:color="auto"/>
              <w:bottom w:val="nil"/>
              <w:right w:val="single" w:sz="4" w:space="0" w:color="auto"/>
            </w:tcBorders>
            <w:shd w:val="clear" w:color="auto" w:fill="auto"/>
            <w:noWrap/>
            <w:vAlign w:val="bottom"/>
            <w:hideMark/>
          </w:tcPr>
          <w:p w14:paraId="2CCD5E1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c>
          <w:tcPr>
            <w:tcW w:w="1080" w:type="dxa"/>
            <w:tcBorders>
              <w:top w:val="nil"/>
              <w:left w:val="single" w:sz="4" w:space="0" w:color="auto"/>
              <w:bottom w:val="nil"/>
              <w:right w:val="single" w:sz="4" w:space="0" w:color="auto"/>
            </w:tcBorders>
            <w:shd w:val="clear" w:color="auto" w:fill="auto"/>
            <w:noWrap/>
            <w:vAlign w:val="bottom"/>
            <w:hideMark/>
          </w:tcPr>
          <w:p w14:paraId="5DA0721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12.4</w:t>
            </w:r>
          </w:p>
        </w:tc>
        <w:tc>
          <w:tcPr>
            <w:tcW w:w="900" w:type="dxa"/>
            <w:tcBorders>
              <w:top w:val="nil"/>
              <w:left w:val="single" w:sz="4" w:space="0" w:color="auto"/>
              <w:bottom w:val="nil"/>
              <w:right w:val="single" w:sz="4" w:space="0" w:color="auto"/>
            </w:tcBorders>
            <w:shd w:val="clear" w:color="auto" w:fill="auto"/>
            <w:noWrap/>
            <w:vAlign w:val="bottom"/>
            <w:hideMark/>
          </w:tcPr>
          <w:p w14:paraId="6F45202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35</w:t>
            </w:r>
          </w:p>
        </w:tc>
        <w:tc>
          <w:tcPr>
            <w:tcW w:w="1080" w:type="dxa"/>
            <w:tcBorders>
              <w:top w:val="nil"/>
              <w:left w:val="single" w:sz="4" w:space="0" w:color="auto"/>
              <w:bottom w:val="nil"/>
              <w:right w:val="single" w:sz="4" w:space="0" w:color="auto"/>
            </w:tcBorders>
            <w:shd w:val="clear" w:color="auto" w:fill="auto"/>
            <w:noWrap/>
            <w:vAlign w:val="bottom"/>
            <w:hideMark/>
          </w:tcPr>
          <w:p w14:paraId="49F0B0B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12.7</w:t>
            </w:r>
          </w:p>
        </w:tc>
        <w:tc>
          <w:tcPr>
            <w:tcW w:w="900" w:type="dxa"/>
            <w:tcBorders>
              <w:top w:val="nil"/>
              <w:left w:val="single" w:sz="4" w:space="0" w:color="auto"/>
              <w:bottom w:val="nil"/>
              <w:right w:val="single" w:sz="4" w:space="0" w:color="auto"/>
            </w:tcBorders>
            <w:shd w:val="clear" w:color="auto" w:fill="auto"/>
            <w:noWrap/>
            <w:vAlign w:val="bottom"/>
            <w:hideMark/>
          </w:tcPr>
          <w:p w14:paraId="31B96B0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34</w:t>
            </w:r>
          </w:p>
        </w:tc>
      </w:tr>
      <w:tr w:rsidR="00794BC1" w:rsidRPr="005D28F4" w14:paraId="51B11680"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3DF7EACA"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2008</w:t>
            </w:r>
          </w:p>
        </w:tc>
        <w:tc>
          <w:tcPr>
            <w:tcW w:w="1040" w:type="dxa"/>
            <w:tcBorders>
              <w:top w:val="nil"/>
              <w:left w:val="single" w:sz="4" w:space="0" w:color="auto"/>
              <w:bottom w:val="nil"/>
              <w:right w:val="single" w:sz="4" w:space="0" w:color="auto"/>
            </w:tcBorders>
            <w:shd w:val="clear" w:color="auto" w:fill="auto"/>
            <w:noWrap/>
            <w:vAlign w:val="bottom"/>
            <w:hideMark/>
          </w:tcPr>
          <w:p w14:paraId="6AF71E9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12.4</w:t>
            </w:r>
          </w:p>
        </w:tc>
        <w:tc>
          <w:tcPr>
            <w:tcW w:w="900" w:type="dxa"/>
            <w:tcBorders>
              <w:top w:val="nil"/>
              <w:left w:val="single" w:sz="4" w:space="0" w:color="auto"/>
              <w:bottom w:val="nil"/>
              <w:right w:val="single" w:sz="4" w:space="0" w:color="auto"/>
            </w:tcBorders>
            <w:shd w:val="clear" w:color="auto" w:fill="auto"/>
            <w:noWrap/>
            <w:vAlign w:val="bottom"/>
            <w:hideMark/>
          </w:tcPr>
          <w:p w14:paraId="255DBDE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c>
          <w:tcPr>
            <w:tcW w:w="1080" w:type="dxa"/>
            <w:tcBorders>
              <w:top w:val="nil"/>
              <w:left w:val="single" w:sz="4" w:space="0" w:color="auto"/>
              <w:bottom w:val="nil"/>
              <w:right w:val="single" w:sz="4" w:space="0" w:color="auto"/>
            </w:tcBorders>
            <w:shd w:val="clear" w:color="auto" w:fill="auto"/>
            <w:noWrap/>
            <w:vAlign w:val="bottom"/>
            <w:hideMark/>
          </w:tcPr>
          <w:p w14:paraId="184B3D8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12.0</w:t>
            </w:r>
          </w:p>
        </w:tc>
        <w:tc>
          <w:tcPr>
            <w:tcW w:w="900" w:type="dxa"/>
            <w:tcBorders>
              <w:top w:val="nil"/>
              <w:left w:val="single" w:sz="4" w:space="0" w:color="auto"/>
              <w:bottom w:val="nil"/>
              <w:right w:val="single" w:sz="4" w:space="0" w:color="auto"/>
            </w:tcBorders>
            <w:shd w:val="clear" w:color="auto" w:fill="auto"/>
            <w:noWrap/>
            <w:vAlign w:val="bottom"/>
            <w:hideMark/>
          </w:tcPr>
          <w:p w14:paraId="1984527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31</w:t>
            </w:r>
          </w:p>
        </w:tc>
        <w:tc>
          <w:tcPr>
            <w:tcW w:w="1080" w:type="dxa"/>
            <w:tcBorders>
              <w:top w:val="nil"/>
              <w:left w:val="single" w:sz="4" w:space="0" w:color="auto"/>
              <w:bottom w:val="nil"/>
              <w:right w:val="single" w:sz="4" w:space="0" w:color="auto"/>
            </w:tcBorders>
            <w:shd w:val="clear" w:color="auto" w:fill="auto"/>
            <w:noWrap/>
            <w:vAlign w:val="bottom"/>
            <w:hideMark/>
          </w:tcPr>
          <w:p w14:paraId="045D553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11.7</w:t>
            </w:r>
          </w:p>
        </w:tc>
        <w:tc>
          <w:tcPr>
            <w:tcW w:w="900" w:type="dxa"/>
            <w:tcBorders>
              <w:top w:val="nil"/>
              <w:left w:val="single" w:sz="4" w:space="0" w:color="auto"/>
              <w:bottom w:val="nil"/>
              <w:right w:val="single" w:sz="4" w:space="0" w:color="auto"/>
            </w:tcBorders>
            <w:shd w:val="clear" w:color="auto" w:fill="auto"/>
            <w:noWrap/>
            <w:vAlign w:val="bottom"/>
            <w:hideMark/>
          </w:tcPr>
          <w:p w14:paraId="0B9ABD4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33</w:t>
            </w:r>
          </w:p>
        </w:tc>
        <w:tc>
          <w:tcPr>
            <w:tcW w:w="1080" w:type="dxa"/>
            <w:tcBorders>
              <w:top w:val="nil"/>
              <w:left w:val="single" w:sz="4" w:space="0" w:color="auto"/>
              <w:bottom w:val="nil"/>
              <w:right w:val="single" w:sz="4" w:space="0" w:color="auto"/>
            </w:tcBorders>
            <w:shd w:val="clear" w:color="auto" w:fill="auto"/>
            <w:noWrap/>
            <w:vAlign w:val="bottom"/>
            <w:hideMark/>
          </w:tcPr>
          <w:p w14:paraId="4A5B28C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11.9</w:t>
            </w:r>
          </w:p>
        </w:tc>
        <w:tc>
          <w:tcPr>
            <w:tcW w:w="900" w:type="dxa"/>
            <w:tcBorders>
              <w:top w:val="nil"/>
              <w:left w:val="single" w:sz="4" w:space="0" w:color="auto"/>
              <w:bottom w:val="nil"/>
              <w:right w:val="single" w:sz="4" w:space="0" w:color="auto"/>
            </w:tcBorders>
            <w:shd w:val="clear" w:color="auto" w:fill="auto"/>
            <w:noWrap/>
            <w:vAlign w:val="bottom"/>
            <w:hideMark/>
          </w:tcPr>
          <w:p w14:paraId="26381CA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32</w:t>
            </w:r>
          </w:p>
        </w:tc>
      </w:tr>
      <w:tr w:rsidR="00794BC1" w:rsidRPr="005D28F4" w14:paraId="6EF415F5"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11B91DCB"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2009</w:t>
            </w:r>
          </w:p>
        </w:tc>
        <w:tc>
          <w:tcPr>
            <w:tcW w:w="1040" w:type="dxa"/>
            <w:tcBorders>
              <w:top w:val="nil"/>
              <w:left w:val="single" w:sz="4" w:space="0" w:color="auto"/>
              <w:bottom w:val="nil"/>
              <w:right w:val="single" w:sz="4" w:space="0" w:color="auto"/>
            </w:tcBorders>
            <w:shd w:val="clear" w:color="auto" w:fill="auto"/>
            <w:noWrap/>
            <w:vAlign w:val="bottom"/>
            <w:hideMark/>
          </w:tcPr>
          <w:p w14:paraId="05B8C0C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11.3</w:t>
            </w:r>
          </w:p>
        </w:tc>
        <w:tc>
          <w:tcPr>
            <w:tcW w:w="900" w:type="dxa"/>
            <w:tcBorders>
              <w:top w:val="nil"/>
              <w:left w:val="single" w:sz="4" w:space="0" w:color="auto"/>
              <w:bottom w:val="nil"/>
              <w:right w:val="single" w:sz="4" w:space="0" w:color="auto"/>
            </w:tcBorders>
            <w:shd w:val="clear" w:color="auto" w:fill="auto"/>
            <w:noWrap/>
            <w:vAlign w:val="bottom"/>
            <w:hideMark/>
          </w:tcPr>
          <w:p w14:paraId="1BC939F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31</w:t>
            </w:r>
          </w:p>
        </w:tc>
        <w:tc>
          <w:tcPr>
            <w:tcW w:w="1080" w:type="dxa"/>
            <w:tcBorders>
              <w:top w:val="nil"/>
              <w:left w:val="single" w:sz="4" w:space="0" w:color="auto"/>
              <w:bottom w:val="nil"/>
              <w:right w:val="single" w:sz="4" w:space="0" w:color="auto"/>
            </w:tcBorders>
            <w:shd w:val="clear" w:color="auto" w:fill="auto"/>
            <w:noWrap/>
            <w:vAlign w:val="bottom"/>
            <w:hideMark/>
          </w:tcPr>
          <w:p w14:paraId="11C162C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11.0</w:t>
            </w:r>
          </w:p>
        </w:tc>
        <w:tc>
          <w:tcPr>
            <w:tcW w:w="900" w:type="dxa"/>
            <w:tcBorders>
              <w:top w:val="nil"/>
              <w:left w:val="single" w:sz="4" w:space="0" w:color="auto"/>
              <w:bottom w:val="nil"/>
              <w:right w:val="single" w:sz="4" w:space="0" w:color="auto"/>
            </w:tcBorders>
            <w:shd w:val="clear" w:color="auto" w:fill="auto"/>
            <w:noWrap/>
            <w:vAlign w:val="bottom"/>
            <w:hideMark/>
          </w:tcPr>
          <w:p w14:paraId="42F6CF3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29</w:t>
            </w:r>
          </w:p>
        </w:tc>
        <w:tc>
          <w:tcPr>
            <w:tcW w:w="1080" w:type="dxa"/>
            <w:tcBorders>
              <w:top w:val="nil"/>
              <w:left w:val="single" w:sz="4" w:space="0" w:color="auto"/>
              <w:bottom w:val="nil"/>
              <w:right w:val="single" w:sz="4" w:space="0" w:color="auto"/>
            </w:tcBorders>
            <w:shd w:val="clear" w:color="auto" w:fill="auto"/>
            <w:noWrap/>
            <w:vAlign w:val="bottom"/>
            <w:hideMark/>
          </w:tcPr>
          <w:p w14:paraId="1178854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10.8</w:t>
            </w:r>
          </w:p>
        </w:tc>
        <w:tc>
          <w:tcPr>
            <w:tcW w:w="900" w:type="dxa"/>
            <w:tcBorders>
              <w:top w:val="nil"/>
              <w:left w:val="single" w:sz="4" w:space="0" w:color="auto"/>
              <w:bottom w:val="nil"/>
              <w:right w:val="single" w:sz="4" w:space="0" w:color="auto"/>
            </w:tcBorders>
            <w:shd w:val="clear" w:color="auto" w:fill="auto"/>
            <w:noWrap/>
            <w:vAlign w:val="bottom"/>
            <w:hideMark/>
          </w:tcPr>
          <w:p w14:paraId="579D471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31</w:t>
            </w:r>
          </w:p>
        </w:tc>
        <w:tc>
          <w:tcPr>
            <w:tcW w:w="1080" w:type="dxa"/>
            <w:tcBorders>
              <w:top w:val="nil"/>
              <w:left w:val="single" w:sz="4" w:space="0" w:color="auto"/>
              <w:bottom w:val="nil"/>
              <w:right w:val="single" w:sz="4" w:space="0" w:color="auto"/>
            </w:tcBorders>
            <w:shd w:val="clear" w:color="auto" w:fill="auto"/>
            <w:noWrap/>
            <w:vAlign w:val="bottom"/>
            <w:hideMark/>
          </w:tcPr>
          <w:p w14:paraId="47BCF87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11.0</w:t>
            </w:r>
          </w:p>
        </w:tc>
        <w:tc>
          <w:tcPr>
            <w:tcW w:w="900" w:type="dxa"/>
            <w:tcBorders>
              <w:top w:val="nil"/>
              <w:left w:val="single" w:sz="4" w:space="0" w:color="auto"/>
              <w:bottom w:val="nil"/>
              <w:right w:val="single" w:sz="4" w:space="0" w:color="auto"/>
            </w:tcBorders>
            <w:shd w:val="clear" w:color="auto" w:fill="auto"/>
            <w:noWrap/>
            <w:vAlign w:val="bottom"/>
            <w:hideMark/>
          </w:tcPr>
          <w:p w14:paraId="37951FDC"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30</w:t>
            </w:r>
          </w:p>
        </w:tc>
      </w:tr>
      <w:tr w:rsidR="00794BC1" w:rsidRPr="005D28F4" w14:paraId="53418CDB"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24FB4C72"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2010</w:t>
            </w:r>
          </w:p>
        </w:tc>
        <w:tc>
          <w:tcPr>
            <w:tcW w:w="1040" w:type="dxa"/>
            <w:tcBorders>
              <w:top w:val="nil"/>
              <w:left w:val="single" w:sz="4" w:space="0" w:color="auto"/>
              <w:bottom w:val="nil"/>
              <w:right w:val="single" w:sz="4" w:space="0" w:color="auto"/>
            </w:tcBorders>
            <w:shd w:val="clear" w:color="auto" w:fill="auto"/>
            <w:noWrap/>
            <w:vAlign w:val="bottom"/>
            <w:hideMark/>
          </w:tcPr>
          <w:p w14:paraId="57B06F6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10.0</w:t>
            </w:r>
          </w:p>
        </w:tc>
        <w:tc>
          <w:tcPr>
            <w:tcW w:w="900" w:type="dxa"/>
            <w:tcBorders>
              <w:top w:val="nil"/>
              <w:left w:val="single" w:sz="4" w:space="0" w:color="auto"/>
              <w:bottom w:val="nil"/>
              <w:right w:val="single" w:sz="4" w:space="0" w:color="auto"/>
            </w:tcBorders>
            <w:shd w:val="clear" w:color="auto" w:fill="auto"/>
            <w:noWrap/>
            <w:vAlign w:val="bottom"/>
            <w:hideMark/>
          </w:tcPr>
          <w:p w14:paraId="26ADBE6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28</w:t>
            </w:r>
          </w:p>
        </w:tc>
        <w:tc>
          <w:tcPr>
            <w:tcW w:w="1080" w:type="dxa"/>
            <w:tcBorders>
              <w:top w:val="nil"/>
              <w:left w:val="single" w:sz="4" w:space="0" w:color="auto"/>
              <w:bottom w:val="nil"/>
              <w:right w:val="single" w:sz="4" w:space="0" w:color="auto"/>
            </w:tcBorders>
            <w:shd w:val="clear" w:color="auto" w:fill="auto"/>
            <w:noWrap/>
            <w:vAlign w:val="bottom"/>
            <w:hideMark/>
          </w:tcPr>
          <w:p w14:paraId="726E009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10.0</w:t>
            </w:r>
          </w:p>
        </w:tc>
        <w:tc>
          <w:tcPr>
            <w:tcW w:w="900" w:type="dxa"/>
            <w:tcBorders>
              <w:top w:val="nil"/>
              <w:left w:val="single" w:sz="4" w:space="0" w:color="auto"/>
              <w:bottom w:val="nil"/>
              <w:right w:val="single" w:sz="4" w:space="0" w:color="auto"/>
            </w:tcBorders>
            <w:shd w:val="clear" w:color="auto" w:fill="auto"/>
            <w:noWrap/>
            <w:vAlign w:val="bottom"/>
            <w:hideMark/>
          </w:tcPr>
          <w:p w14:paraId="0119307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27</w:t>
            </w:r>
          </w:p>
        </w:tc>
        <w:tc>
          <w:tcPr>
            <w:tcW w:w="1080" w:type="dxa"/>
            <w:tcBorders>
              <w:top w:val="nil"/>
              <w:left w:val="single" w:sz="4" w:space="0" w:color="auto"/>
              <w:bottom w:val="nil"/>
              <w:right w:val="single" w:sz="4" w:space="0" w:color="auto"/>
            </w:tcBorders>
            <w:shd w:val="clear" w:color="auto" w:fill="auto"/>
            <w:noWrap/>
            <w:vAlign w:val="bottom"/>
            <w:hideMark/>
          </w:tcPr>
          <w:p w14:paraId="3E64308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10.0</w:t>
            </w:r>
          </w:p>
        </w:tc>
        <w:tc>
          <w:tcPr>
            <w:tcW w:w="900" w:type="dxa"/>
            <w:tcBorders>
              <w:top w:val="nil"/>
              <w:left w:val="single" w:sz="4" w:space="0" w:color="auto"/>
              <w:bottom w:val="nil"/>
              <w:right w:val="single" w:sz="4" w:space="0" w:color="auto"/>
            </w:tcBorders>
            <w:shd w:val="clear" w:color="auto" w:fill="auto"/>
            <w:noWrap/>
            <w:vAlign w:val="bottom"/>
            <w:hideMark/>
          </w:tcPr>
          <w:p w14:paraId="24A562F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29</w:t>
            </w:r>
          </w:p>
        </w:tc>
        <w:tc>
          <w:tcPr>
            <w:tcW w:w="1080" w:type="dxa"/>
            <w:tcBorders>
              <w:top w:val="nil"/>
              <w:left w:val="single" w:sz="4" w:space="0" w:color="auto"/>
              <w:bottom w:val="nil"/>
              <w:right w:val="single" w:sz="4" w:space="0" w:color="auto"/>
            </w:tcBorders>
            <w:shd w:val="clear" w:color="auto" w:fill="auto"/>
            <w:noWrap/>
            <w:vAlign w:val="bottom"/>
            <w:hideMark/>
          </w:tcPr>
          <w:p w14:paraId="77D3439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10.1</w:t>
            </w:r>
          </w:p>
        </w:tc>
        <w:tc>
          <w:tcPr>
            <w:tcW w:w="900" w:type="dxa"/>
            <w:tcBorders>
              <w:top w:val="nil"/>
              <w:left w:val="single" w:sz="4" w:space="0" w:color="auto"/>
              <w:bottom w:val="nil"/>
              <w:right w:val="single" w:sz="4" w:space="0" w:color="auto"/>
            </w:tcBorders>
            <w:shd w:val="clear" w:color="auto" w:fill="auto"/>
            <w:noWrap/>
            <w:vAlign w:val="bottom"/>
            <w:hideMark/>
          </w:tcPr>
          <w:p w14:paraId="7ED52D8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27</w:t>
            </w:r>
          </w:p>
        </w:tc>
      </w:tr>
      <w:tr w:rsidR="00794BC1" w:rsidRPr="005D28F4" w14:paraId="3C6B7302"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14C59989"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2011</w:t>
            </w:r>
          </w:p>
        </w:tc>
        <w:tc>
          <w:tcPr>
            <w:tcW w:w="1040" w:type="dxa"/>
            <w:tcBorders>
              <w:top w:val="nil"/>
              <w:left w:val="single" w:sz="4" w:space="0" w:color="auto"/>
              <w:bottom w:val="nil"/>
              <w:right w:val="single" w:sz="4" w:space="0" w:color="auto"/>
            </w:tcBorders>
            <w:shd w:val="clear" w:color="auto" w:fill="auto"/>
            <w:noWrap/>
            <w:vAlign w:val="bottom"/>
            <w:hideMark/>
          </w:tcPr>
          <w:p w14:paraId="7B9FC66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9.4</w:t>
            </w:r>
          </w:p>
        </w:tc>
        <w:tc>
          <w:tcPr>
            <w:tcW w:w="900" w:type="dxa"/>
            <w:tcBorders>
              <w:top w:val="nil"/>
              <w:left w:val="single" w:sz="4" w:space="0" w:color="auto"/>
              <w:bottom w:val="nil"/>
              <w:right w:val="single" w:sz="4" w:space="0" w:color="auto"/>
            </w:tcBorders>
            <w:shd w:val="clear" w:color="auto" w:fill="auto"/>
            <w:noWrap/>
            <w:vAlign w:val="bottom"/>
            <w:hideMark/>
          </w:tcPr>
          <w:p w14:paraId="3B8C438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25</w:t>
            </w:r>
          </w:p>
        </w:tc>
        <w:tc>
          <w:tcPr>
            <w:tcW w:w="1080" w:type="dxa"/>
            <w:tcBorders>
              <w:top w:val="nil"/>
              <w:left w:val="single" w:sz="4" w:space="0" w:color="auto"/>
              <w:bottom w:val="nil"/>
              <w:right w:val="single" w:sz="4" w:space="0" w:color="auto"/>
            </w:tcBorders>
            <w:shd w:val="clear" w:color="auto" w:fill="auto"/>
            <w:noWrap/>
            <w:vAlign w:val="bottom"/>
            <w:hideMark/>
          </w:tcPr>
          <w:p w14:paraId="0F0661B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9.3</w:t>
            </w:r>
          </w:p>
        </w:tc>
        <w:tc>
          <w:tcPr>
            <w:tcW w:w="900" w:type="dxa"/>
            <w:tcBorders>
              <w:top w:val="nil"/>
              <w:left w:val="single" w:sz="4" w:space="0" w:color="auto"/>
              <w:bottom w:val="nil"/>
              <w:right w:val="single" w:sz="4" w:space="0" w:color="auto"/>
            </w:tcBorders>
            <w:shd w:val="clear" w:color="auto" w:fill="auto"/>
            <w:noWrap/>
            <w:vAlign w:val="bottom"/>
            <w:hideMark/>
          </w:tcPr>
          <w:p w14:paraId="02E05A2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26</w:t>
            </w:r>
          </w:p>
        </w:tc>
        <w:tc>
          <w:tcPr>
            <w:tcW w:w="1080" w:type="dxa"/>
            <w:tcBorders>
              <w:top w:val="nil"/>
              <w:left w:val="single" w:sz="4" w:space="0" w:color="auto"/>
              <w:bottom w:val="nil"/>
              <w:right w:val="single" w:sz="4" w:space="0" w:color="auto"/>
            </w:tcBorders>
            <w:shd w:val="clear" w:color="auto" w:fill="auto"/>
            <w:noWrap/>
            <w:vAlign w:val="bottom"/>
            <w:hideMark/>
          </w:tcPr>
          <w:p w14:paraId="73EEDFA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9.6</w:t>
            </w:r>
          </w:p>
        </w:tc>
        <w:tc>
          <w:tcPr>
            <w:tcW w:w="900" w:type="dxa"/>
            <w:tcBorders>
              <w:top w:val="nil"/>
              <w:left w:val="single" w:sz="4" w:space="0" w:color="auto"/>
              <w:bottom w:val="nil"/>
              <w:right w:val="single" w:sz="4" w:space="0" w:color="auto"/>
            </w:tcBorders>
            <w:shd w:val="clear" w:color="auto" w:fill="auto"/>
            <w:noWrap/>
            <w:vAlign w:val="bottom"/>
            <w:hideMark/>
          </w:tcPr>
          <w:p w14:paraId="2E0816CB"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28</w:t>
            </w:r>
          </w:p>
        </w:tc>
        <w:tc>
          <w:tcPr>
            <w:tcW w:w="1080" w:type="dxa"/>
            <w:tcBorders>
              <w:top w:val="nil"/>
              <w:left w:val="single" w:sz="4" w:space="0" w:color="auto"/>
              <w:bottom w:val="nil"/>
              <w:right w:val="single" w:sz="4" w:space="0" w:color="auto"/>
            </w:tcBorders>
            <w:shd w:val="clear" w:color="auto" w:fill="auto"/>
            <w:noWrap/>
            <w:vAlign w:val="bottom"/>
            <w:hideMark/>
          </w:tcPr>
          <w:p w14:paraId="075F289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9.5</w:t>
            </w:r>
          </w:p>
        </w:tc>
        <w:tc>
          <w:tcPr>
            <w:tcW w:w="900" w:type="dxa"/>
            <w:tcBorders>
              <w:top w:val="nil"/>
              <w:left w:val="single" w:sz="4" w:space="0" w:color="auto"/>
              <w:bottom w:val="nil"/>
              <w:right w:val="single" w:sz="4" w:space="0" w:color="auto"/>
            </w:tcBorders>
            <w:shd w:val="clear" w:color="auto" w:fill="auto"/>
            <w:noWrap/>
            <w:vAlign w:val="bottom"/>
            <w:hideMark/>
          </w:tcPr>
          <w:p w14:paraId="68A5D1B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26</w:t>
            </w:r>
          </w:p>
        </w:tc>
      </w:tr>
      <w:tr w:rsidR="00794BC1" w:rsidRPr="005D28F4" w14:paraId="2FFB4C7A"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0127F48A"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2012</w:t>
            </w:r>
          </w:p>
        </w:tc>
        <w:tc>
          <w:tcPr>
            <w:tcW w:w="1040" w:type="dxa"/>
            <w:tcBorders>
              <w:top w:val="nil"/>
              <w:left w:val="single" w:sz="4" w:space="0" w:color="auto"/>
              <w:bottom w:val="nil"/>
              <w:right w:val="single" w:sz="4" w:space="0" w:color="auto"/>
            </w:tcBorders>
            <w:shd w:val="clear" w:color="auto" w:fill="auto"/>
            <w:noWrap/>
            <w:vAlign w:val="bottom"/>
            <w:hideMark/>
          </w:tcPr>
          <w:p w14:paraId="74DCF95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9.4</w:t>
            </w:r>
          </w:p>
        </w:tc>
        <w:tc>
          <w:tcPr>
            <w:tcW w:w="900" w:type="dxa"/>
            <w:tcBorders>
              <w:top w:val="nil"/>
              <w:left w:val="single" w:sz="4" w:space="0" w:color="auto"/>
              <w:bottom w:val="nil"/>
              <w:right w:val="single" w:sz="4" w:space="0" w:color="auto"/>
            </w:tcBorders>
            <w:shd w:val="clear" w:color="auto" w:fill="auto"/>
            <w:noWrap/>
            <w:vAlign w:val="bottom"/>
            <w:hideMark/>
          </w:tcPr>
          <w:p w14:paraId="5C55988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23</w:t>
            </w:r>
          </w:p>
        </w:tc>
        <w:tc>
          <w:tcPr>
            <w:tcW w:w="1080" w:type="dxa"/>
            <w:tcBorders>
              <w:top w:val="nil"/>
              <w:left w:val="single" w:sz="4" w:space="0" w:color="auto"/>
              <w:bottom w:val="nil"/>
              <w:right w:val="single" w:sz="4" w:space="0" w:color="auto"/>
            </w:tcBorders>
            <w:shd w:val="clear" w:color="auto" w:fill="auto"/>
            <w:noWrap/>
            <w:vAlign w:val="bottom"/>
            <w:hideMark/>
          </w:tcPr>
          <w:p w14:paraId="5ACA55D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9.0</w:t>
            </w:r>
          </w:p>
        </w:tc>
        <w:tc>
          <w:tcPr>
            <w:tcW w:w="900" w:type="dxa"/>
            <w:tcBorders>
              <w:top w:val="nil"/>
              <w:left w:val="single" w:sz="4" w:space="0" w:color="auto"/>
              <w:bottom w:val="nil"/>
              <w:right w:val="single" w:sz="4" w:space="0" w:color="auto"/>
            </w:tcBorders>
            <w:shd w:val="clear" w:color="auto" w:fill="auto"/>
            <w:noWrap/>
            <w:vAlign w:val="bottom"/>
            <w:hideMark/>
          </w:tcPr>
          <w:p w14:paraId="1F4B827B"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c>
          <w:tcPr>
            <w:tcW w:w="1080" w:type="dxa"/>
            <w:tcBorders>
              <w:top w:val="nil"/>
              <w:left w:val="single" w:sz="4" w:space="0" w:color="auto"/>
              <w:bottom w:val="nil"/>
              <w:right w:val="single" w:sz="4" w:space="0" w:color="auto"/>
            </w:tcBorders>
            <w:shd w:val="clear" w:color="auto" w:fill="auto"/>
            <w:noWrap/>
            <w:vAlign w:val="bottom"/>
            <w:hideMark/>
          </w:tcPr>
          <w:p w14:paraId="2ED961B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9.1</w:t>
            </w:r>
          </w:p>
        </w:tc>
        <w:tc>
          <w:tcPr>
            <w:tcW w:w="900" w:type="dxa"/>
            <w:tcBorders>
              <w:top w:val="nil"/>
              <w:left w:val="single" w:sz="4" w:space="0" w:color="auto"/>
              <w:bottom w:val="nil"/>
              <w:right w:val="single" w:sz="4" w:space="0" w:color="auto"/>
            </w:tcBorders>
            <w:shd w:val="clear" w:color="auto" w:fill="auto"/>
            <w:noWrap/>
            <w:vAlign w:val="bottom"/>
            <w:hideMark/>
          </w:tcPr>
          <w:p w14:paraId="648618F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25</w:t>
            </w:r>
          </w:p>
        </w:tc>
        <w:tc>
          <w:tcPr>
            <w:tcW w:w="1080" w:type="dxa"/>
            <w:tcBorders>
              <w:top w:val="nil"/>
              <w:left w:val="single" w:sz="4" w:space="0" w:color="auto"/>
              <w:bottom w:val="nil"/>
              <w:right w:val="single" w:sz="4" w:space="0" w:color="auto"/>
            </w:tcBorders>
            <w:shd w:val="clear" w:color="auto" w:fill="auto"/>
            <w:noWrap/>
            <w:vAlign w:val="bottom"/>
            <w:hideMark/>
          </w:tcPr>
          <w:p w14:paraId="0779C9F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9.2</w:t>
            </w:r>
          </w:p>
        </w:tc>
        <w:tc>
          <w:tcPr>
            <w:tcW w:w="900" w:type="dxa"/>
            <w:tcBorders>
              <w:top w:val="nil"/>
              <w:left w:val="single" w:sz="4" w:space="0" w:color="auto"/>
              <w:bottom w:val="nil"/>
              <w:right w:val="single" w:sz="4" w:space="0" w:color="auto"/>
            </w:tcBorders>
            <w:shd w:val="clear" w:color="auto" w:fill="auto"/>
            <w:noWrap/>
            <w:vAlign w:val="bottom"/>
            <w:hideMark/>
          </w:tcPr>
          <w:p w14:paraId="66463F67"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r>
      <w:tr w:rsidR="00794BC1" w:rsidRPr="005D28F4" w14:paraId="394418DB"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56B1BA0A"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2013</w:t>
            </w:r>
          </w:p>
        </w:tc>
        <w:tc>
          <w:tcPr>
            <w:tcW w:w="1040" w:type="dxa"/>
            <w:tcBorders>
              <w:top w:val="nil"/>
              <w:left w:val="single" w:sz="4" w:space="0" w:color="auto"/>
              <w:bottom w:val="nil"/>
              <w:right w:val="single" w:sz="4" w:space="0" w:color="auto"/>
            </w:tcBorders>
            <w:shd w:val="clear" w:color="auto" w:fill="auto"/>
            <w:noWrap/>
            <w:vAlign w:val="bottom"/>
            <w:hideMark/>
          </w:tcPr>
          <w:p w14:paraId="7B3AE3A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9.3</w:t>
            </w:r>
          </w:p>
        </w:tc>
        <w:tc>
          <w:tcPr>
            <w:tcW w:w="900" w:type="dxa"/>
            <w:tcBorders>
              <w:top w:val="nil"/>
              <w:left w:val="single" w:sz="4" w:space="0" w:color="auto"/>
              <w:bottom w:val="nil"/>
              <w:right w:val="single" w:sz="4" w:space="0" w:color="auto"/>
            </w:tcBorders>
            <w:shd w:val="clear" w:color="auto" w:fill="auto"/>
            <w:noWrap/>
            <w:vAlign w:val="bottom"/>
            <w:hideMark/>
          </w:tcPr>
          <w:p w14:paraId="1D3D601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23</w:t>
            </w:r>
          </w:p>
        </w:tc>
        <w:tc>
          <w:tcPr>
            <w:tcW w:w="1080" w:type="dxa"/>
            <w:tcBorders>
              <w:top w:val="nil"/>
              <w:left w:val="single" w:sz="4" w:space="0" w:color="auto"/>
              <w:bottom w:val="nil"/>
              <w:right w:val="single" w:sz="4" w:space="0" w:color="auto"/>
            </w:tcBorders>
            <w:shd w:val="clear" w:color="auto" w:fill="auto"/>
            <w:noWrap/>
            <w:vAlign w:val="bottom"/>
            <w:hideMark/>
          </w:tcPr>
          <w:p w14:paraId="569BBF6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8.6</w:t>
            </w:r>
          </w:p>
        </w:tc>
        <w:tc>
          <w:tcPr>
            <w:tcW w:w="900" w:type="dxa"/>
            <w:tcBorders>
              <w:top w:val="nil"/>
              <w:left w:val="single" w:sz="4" w:space="0" w:color="auto"/>
              <w:bottom w:val="nil"/>
              <w:right w:val="single" w:sz="4" w:space="0" w:color="auto"/>
            </w:tcBorders>
            <w:shd w:val="clear" w:color="auto" w:fill="auto"/>
            <w:noWrap/>
            <w:vAlign w:val="bottom"/>
            <w:hideMark/>
          </w:tcPr>
          <w:p w14:paraId="300A879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25</w:t>
            </w:r>
          </w:p>
        </w:tc>
        <w:tc>
          <w:tcPr>
            <w:tcW w:w="1080" w:type="dxa"/>
            <w:tcBorders>
              <w:top w:val="nil"/>
              <w:left w:val="single" w:sz="4" w:space="0" w:color="auto"/>
              <w:bottom w:val="nil"/>
              <w:right w:val="single" w:sz="4" w:space="0" w:color="auto"/>
            </w:tcBorders>
            <w:shd w:val="clear" w:color="auto" w:fill="auto"/>
            <w:noWrap/>
            <w:vAlign w:val="bottom"/>
            <w:hideMark/>
          </w:tcPr>
          <w:p w14:paraId="1F0190E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9.1</w:t>
            </w:r>
          </w:p>
        </w:tc>
        <w:tc>
          <w:tcPr>
            <w:tcW w:w="900" w:type="dxa"/>
            <w:tcBorders>
              <w:top w:val="nil"/>
              <w:left w:val="single" w:sz="4" w:space="0" w:color="auto"/>
              <w:bottom w:val="nil"/>
              <w:right w:val="single" w:sz="4" w:space="0" w:color="auto"/>
            </w:tcBorders>
            <w:shd w:val="clear" w:color="auto" w:fill="auto"/>
            <w:noWrap/>
            <w:vAlign w:val="bottom"/>
            <w:hideMark/>
          </w:tcPr>
          <w:p w14:paraId="1A20422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c>
          <w:tcPr>
            <w:tcW w:w="1080" w:type="dxa"/>
            <w:tcBorders>
              <w:top w:val="nil"/>
              <w:left w:val="single" w:sz="4" w:space="0" w:color="auto"/>
              <w:bottom w:val="nil"/>
              <w:right w:val="single" w:sz="4" w:space="0" w:color="auto"/>
            </w:tcBorders>
            <w:shd w:val="clear" w:color="auto" w:fill="auto"/>
            <w:noWrap/>
            <w:vAlign w:val="bottom"/>
            <w:hideMark/>
          </w:tcPr>
          <w:p w14:paraId="6296F5BC"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8.9</w:t>
            </w:r>
          </w:p>
        </w:tc>
        <w:tc>
          <w:tcPr>
            <w:tcW w:w="900" w:type="dxa"/>
            <w:tcBorders>
              <w:top w:val="nil"/>
              <w:left w:val="single" w:sz="4" w:space="0" w:color="auto"/>
              <w:bottom w:val="nil"/>
              <w:right w:val="single" w:sz="4" w:space="0" w:color="auto"/>
            </w:tcBorders>
            <w:shd w:val="clear" w:color="auto" w:fill="auto"/>
            <w:noWrap/>
            <w:vAlign w:val="bottom"/>
            <w:hideMark/>
          </w:tcPr>
          <w:p w14:paraId="545E1B2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23</w:t>
            </w:r>
          </w:p>
        </w:tc>
      </w:tr>
      <w:tr w:rsidR="00794BC1" w:rsidRPr="005D28F4" w14:paraId="56FA1706"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047A6F2A"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2014</w:t>
            </w:r>
          </w:p>
        </w:tc>
        <w:tc>
          <w:tcPr>
            <w:tcW w:w="1040" w:type="dxa"/>
            <w:tcBorders>
              <w:top w:val="nil"/>
              <w:left w:val="single" w:sz="4" w:space="0" w:color="auto"/>
              <w:bottom w:val="nil"/>
              <w:right w:val="single" w:sz="4" w:space="0" w:color="auto"/>
            </w:tcBorders>
            <w:shd w:val="clear" w:color="auto" w:fill="auto"/>
            <w:noWrap/>
            <w:vAlign w:val="bottom"/>
            <w:hideMark/>
          </w:tcPr>
          <w:p w14:paraId="68075D6C"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9.3</w:t>
            </w:r>
          </w:p>
        </w:tc>
        <w:tc>
          <w:tcPr>
            <w:tcW w:w="900" w:type="dxa"/>
            <w:tcBorders>
              <w:top w:val="nil"/>
              <w:left w:val="single" w:sz="4" w:space="0" w:color="auto"/>
              <w:bottom w:val="nil"/>
              <w:right w:val="single" w:sz="4" w:space="0" w:color="auto"/>
            </w:tcBorders>
            <w:shd w:val="clear" w:color="auto" w:fill="auto"/>
            <w:noWrap/>
            <w:vAlign w:val="bottom"/>
            <w:hideMark/>
          </w:tcPr>
          <w:p w14:paraId="7D97D6C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23</w:t>
            </w:r>
          </w:p>
        </w:tc>
        <w:tc>
          <w:tcPr>
            <w:tcW w:w="1080" w:type="dxa"/>
            <w:tcBorders>
              <w:top w:val="nil"/>
              <w:left w:val="single" w:sz="4" w:space="0" w:color="auto"/>
              <w:bottom w:val="nil"/>
              <w:right w:val="single" w:sz="4" w:space="0" w:color="auto"/>
            </w:tcBorders>
            <w:shd w:val="clear" w:color="auto" w:fill="auto"/>
            <w:noWrap/>
            <w:vAlign w:val="bottom"/>
            <w:hideMark/>
          </w:tcPr>
          <w:p w14:paraId="45180C6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8.1</w:t>
            </w:r>
          </w:p>
        </w:tc>
        <w:tc>
          <w:tcPr>
            <w:tcW w:w="900" w:type="dxa"/>
            <w:tcBorders>
              <w:top w:val="nil"/>
              <w:left w:val="single" w:sz="4" w:space="0" w:color="auto"/>
              <w:bottom w:val="nil"/>
              <w:right w:val="single" w:sz="4" w:space="0" w:color="auto"/>
            </w:tcBorders>
            <w:shd w:val="clear" w:color="auto" w:fill="auto"/>
            <w:noWrap/>
            <w:vAlign w:val="bottom"/>
            <w:hideMark/>
          </w:tcPr>
          <w:p w14:paraId="46A193F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c>
          <w:tcPr>
            <w:tcW w:w="1080" w:type="dxa"/>
            <w:tcBorders>
              <w:top w:val="nil"/>
              <w:left w:val="single" w:sz="4" w:space="0" w:color="auto"/>
              <w:bottom w:val="nil"/>
              <w:right w:val="single" w:sz="4" w:space="0" w:color="auto"/>
            </w:tcBorders>
            <w:shd w:val="clear" w:color="auto" w:fill="auto"/>
            <w:noWrap/>
            <w:vAlign w:val="bottom"/>
            <w:hideMark/>
          </w:tcPr>
          <w:p w14:paraId="3FB6CA9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8.4</w:t>
            </w:r>
          </w:p>
        </w:tc>
        <w:tc>
          <w:tcPr>
            <w:tcW w:w="900" w:type="dxa"/>
            <w:tcBorders>
              <w:top w:val="nil"/>
              <w:left w:val="single" w:sz="4" w:space="0" w:color="auto"/>
              <w:bottom w:val="nil"/>
              <w:right w:val="single" w:sz="4" w:space="0" w:color="auto"/>
            </w:tcBorders>
            <w:shd w:val="clear" w:color="auto" w:fill="auto"/>
            <w:noWrap/>
            <w:vAlign w:val="bottom"/>
            <w:hideMark/>
          </w:tcPr>
          <w:p w14:paraId="6287DF5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11902BE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8.5</w:t>
            </w:r>
          </w:p>
        </w:tc>
        <w:tc>
          <w:tcPr>
            <w:tcW w:w="900" w:type="dxa"/>
            <w:tcBorders>
              <w:top w:val="nil"/>
              <w:left w:val="single" w:sz="4" w:space="0" w:color="auto"/>
              <w:bottom w:val="nil"/>
              <w:right w:val="single" w:sz="4" w:space="0" w:color="auto"/>
            </w:tcBorders>
            <w:shd w:val="clear" w:color="auto" w:fill="auto"/>
            <w:noWrap/>
            <w:vAlign w:val="bottom"/>
            <w:hideMark/>
          </w:tcPr>
          <w:p w14:paraId="62F11D3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23</w:t>
            </w:r>
          </w:p>
        </w:tc>
      </w:tr>
      <w:tr w:rsidR="00794BC1" w:rsidRPr="005D28F4" w14:paraId="7782D527"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535237CA"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2015</w:t>
            </w:r>
          </w:p>
        </w:tc>
        <w:tc>
          <w:tcPr>
            <w:tcW w:w="1040" w:type="dxa"/>
            <w:tcBorders>
              <w:top w:val="nil"/>
              <w:left w:val="single" w:sz="4" w:space="0" w:color="auto"/>
              <w:bottom w:val="nil"/>
              <w:right w:val="single" w:sz="4" w:space="0" w:color="auto"/>
            </w:tcBorders>
            <w:shd w:val="clear" w:color="auto" w:fill="auto"/>
            <w:noWrap/>
            <w:vAlign w:val="bottom"/>
            <w:hideMark/>
          </w:tcPr>
          <w:p w14:paraId="14332ED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9.4</w:t>
            </w:r>
          </w:p>
        </w:tc>
        <w:tc>
          <w:tcPr>
            <w:tcW w:w="900" w:type="dxa"/>
            <w:tcBorders>
              <w:top w:val="nil"/>
              <w:left w:val="single" w:sz="4" w:space="0" w:color="auto"/>
              <w:bottom w:val="nil"/>
              <w:right w:val="single" w:sz="4" w:space="0" w:color="auto"/>
            </w:tcBorders>
            <w:shd w:val="clear" w:color="auto" w:fill="auto"/>
            <w:noWrap/>
            <w:vAlign w:val="bottom"/>
            <w:hideMark/>
          </w:tcPr>
          <w:p w14:paraId="0A984AD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c>
          <w:tcPr>
            <w:tcW w:w="1080" w:type="dxa"/>
            <w:tcBorders>
              <w:top w:val="nil"/>
              <w:left w:val="single" w:sz="4" w:space="0" w:color="auto"/>
              <w:bottom w:val="nil"/>
              <w:right w:val="single" w:sz="4" w:space="0" w:color="auto"/>
            </w:tcBorders>
            <w:shd w:val="clear" w:color="auto" w:fill="auto"/>
            <w:noWrap/>
            <w:vAlign w:val="bottom"/>
            <w:hideMark/>
          </w:tcPr>
          <w:p w14:paraId="0F7AF89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8.2</w:t>
            </w:r>
          </w:p>
        </w:tc>
        <w:tc>
          <w:tcPr>
            <w:tcW w:w="900" w:type="dxa"/>
            <w:tcBorders>
              <w:top w:val="nil"/>
              <w:left w:val="single" w:sz="4" w:space="0" w:color="auto"/>
              <w:bottom w:val="nil"/>
              <w:right w:val="single" w:sz="4" w:space="0" w:color="auto"/>
            </w:tcBorders>
            <w:shd w:val="clear" w:color="auto" w:fill="auto"/>
            <w:noWrap/>
            <w:vAlign w:val="bottom"/>
            <w:hideMark/>
          </w:tcPr>
          <w:p w14:paraId="7B9E6E7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25</w:t>
            </w:r>
          </w:p>
        </w:tc>
        <w:tc>
          <w:tcPr>
            <w:tcW w:w="1080" w:type="dxa"/>
            <w:tcBorders>
              <w:top w:val="nil"/>
              <w:left w:val="single" w:sz="4" w:space="0" w:color="auto"/>
              <w:bottom w:val="nil"/>
              <w:right w:val="single" w:sz="4" w:space="0" w:color="auto"/>
            </w:tcBorders>
            <w:shd w:val="clear" w:color="auto" w:fill="auto"/>
            <w:noWrap/>
            <w:vAlign w:val="bottom"/>
            <w:hideMark/>
          </w:tcPr>
          <w:p w14:paraId="080100B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8.3</w:t>
            </w:r>
          </w:p>
        </w:tc>
        <w:tc>
          <w:tcPr>
            <w:tcW w:w="900" w:type="dxa"/>
            <w:tcBorders>
              <w:top w:val="nil"/>
              <w:left w:val="single" w:sz="4" w:space="0" w:color="auto"/>
              <w:bottom w:val="nil"/>
              <w:right w:val="single" w:sz="4" w:space="0" w:color="auto"/>
            </w:tcBorders>
            <w:shd w:val="clear" w:color="auto" w:fill="auto"/>
            <w:noWrap/>
            <w:vAlign w:val="bottom"/>
            <w:hideMark/>
          </w:tcPr>
          <w:p w14:paraId="2984F73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22</w:t>
            </w:r>
          </w:p>
        </w:tc>
        <w:tc>
          <w:tcPr>
            <w:tcW w:w="1080" w:type="dxa"/>
            <w:tcBorders>
              <w:top w:val="nil"/>
              <w:left w:val="single" w:sz="4" w:space="0" w:color="auto"/>
              <w:bottom w:val="nil"/>
              <w:right w:val="single" w:sz="4" w:space="0" w:color="auto"/>
            </w:tcBorders>
            <w:shd w:val="clear" w:color="auto" w:fill="auto"/>
            <w:noWrap/>
            <w:vAlign w:val="bottom"/>
            <w:hideMark/>
          </w:tcPr>
          <w:p w14:paraId="6D0C1207"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8.7</w:t>
            </w:r>
          </w:p>
        </w:tc>
        <w:tc>
          <w:tcPr>
            <w:tcW w:w="900" w:type="dxa"/>
            <w:tcBorders>
              <w:top w:val="nil"/>
              <w:left w:val="single" w:sz="4" w:space="0" w:color="auto"/>
              <w:bottom w:val="nil"/>
              <w:right w:val="single" w:sz="4" w:space="0" w:color="auto"/>
            </w:tcBorders>
            <w:shd w:val="clear" w:color="auto" w:fill="auto"/>
            <w:noWrap/>
            <w:vAlign w:val="bottom"/>
            <w:hideMark/>
          </w:tcPr>
          <w:p w14:paraId="031C80B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r>
      <w:tr w:rsidR="00794BC1" w:rsidRPr="005D28F4" w14:paraId="4EC73615"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71382FDB"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2016</w:t>
            </w:r>
          </w:p>
        </w:tc>
        <w:tc>
          <w:tcPr>
            <w:tcW w:w="1040" w:type="dxa"/>
            <w:tcBorders>
              <w:top w:val="nil"/>
              <w:left w:val="single" w:sz="4" w:space="0" w:color="auto"/>
              <w:bottom w:val="nil"/>
              <w:right w:val="single" w:sz="4" w:space="0" w:color="auto"/>
            </w:tcBorders>
            <w:shd w:val="clear" w:color="auto" w:fill="auto"/>
            <w:noWrap/>
            <w:vAlign w:val="bottom"/>
            <w:hideMark/>
          </w:tcPr>
          <w:p w14:paraId="1390CAB0"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9.6</w:t>
            </w:r>
          </w:p>
        </w:tc>
        <w:tc>
          <w:tcPr>
            <w:tcW w:w="900" w:type="dxa"/>
            <w:tcBorders>
              <w:top w:val="nil"/>
              <w:left w:val="single" w:sz="4" w:space="0" w:color="auto"/>
              <w:bottom w:val="nil"/>
              <w:right w:val="single" w:sz="4" w:space="0" w:color="auto"/>
            </w:tcBorders>
            <w:shd w:val="clear" w:color="auto" w:fill="auto"/>
            <w:noWrap/>
            <w:vAlign w:val="bottom"/>
            <w:hideMark/>
          </w:tcPr>
          <w:p w14:paraId="34BC8B9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24</w:t>
            </w:r>
          </w:p>
        </w:tc>
        <w:tc>
          <w:tcPr>
            <w:tcW w:w="1080" w:type="dxa"/>
            <w:tcBorders>
              <w:top w:val="nil"/>
              <w:left w:val="single" w:sz="4" w:space="0" w:color="auto"/>
              <w:bottom w:val="nil"/>
              <w:right w:val="single" w:sz="4" w:space="0" w:color="auto"/>
            </w:tcBorders>
            <w:shd w:val="clear" w:color="auto" w:fill="auto"/>
            <w:noWrap/>
            <w:vAlign w:val="bottom"/>
            <w:hideMark/>
          </w:tcPr>
          <w:p w14:paraId="40440EE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8.3</w:t>
            </w:r>
          </w:p>
        </w:tc>
        <w:tc>
          <w:tcPr>
            <w:tcW w:w="900" w:type="dxa"/>
            <w:tcBorders>
              <w:top w:val="nil"/>
              <w:left w:val="single" w:sz="4" w:space="0" w:color="auto"/>
              <w:bottom w:val="nil"/>
              <w:right w:val="single" w:sz="4" w:space="0" w:color="auto"/>
            </w:tcBorders>
            <w:shd w:val="clear" w:color="auto" w:fill="auto"/>
            <w:noWrap/>
            <w:vAlign w:val="bottom"/>
            <w:hideMark/>
          </w:tcPr>
          <w:p w14:paraId="0DFC6EB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23</w:t>
            </w:r>
          </w:p>
        </w:tc>
        <w:tc>
          <w:tcPr>
            <w:tcW w:w="1080" w:type="dxa"/>
            <w:tcBorders>
              <w:top w:val="nil"/>
              <w:left w:val="single" w:sz="4" w:space="0" w:color="auto"/>
              <w:bottom w:val="nil"/>
              <w:right w:val="single" w:sz="4" w:space="0" w:color="auto"/>
            </w:tcBorders>
            <w:shd w:val="clear" w:color="auto" w:fill="auto"/>
            <w:noWrap/>
            <w:vAlign w:val="bottom"/>
            <w:hideMark/>
          </w:tcPr>
          <w:p w14:paraId="283112B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7.6</w:t>
            </w:r>
          </w:p>
        </w:tc>
        <w:tc>
          <w:tcPr>
            <w:tcW w:w="900" w:type="dxa"/>
            <w:tcBorders>
              <w:top w:val="nil"/>
              <w:left w:val="single" w:sz="4" w:space="0" w:color="auto"/>
              <w:bottom w:val="nil"/>
              <w:right w:val="single" w:sz="4" w:space="0" w:color="auto"/>
            </w:tcBorders>
            <w:shd w:val="clear" w:color="auto" w:fill="auto"/>
            <w:noWrap/>
            <w:vAlign w:val="bottom"/>
            <w:hideMark/>
          </w:tcPr>
          <w:p w14:paraId="7DA6D57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c>
          <w:tcPr>
            <w:tcW w:w="1080" w:type="dxa"/>
            <w:tcBorders>
              <w:top w:val="nil"/>
              <w:left w:val="single" w:sz="4" w:space="0" w:color="auto"/>
              <w:bottom w:val="nil"/>
              <w:right w:val="single" w:sz="4" w:space="0" w:color="auto"/>
            </w:tcBorders>
            <w:shd w:val="clear" w:color="auto" w:fill="auto"/>
            <w:noWrap/>
            <w:vAlign w:val="bottom"/>
            <w:hideMark/>
          </w:tcPr>
          <w:p w14:paraId="0457DC73"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000000" w:fill="FFFFFF"/>
            <w:noWrap/>
            <w:vAlign w:val="bottom"/>
            <w:hideMark/>
          </w:tcPr>
          <w:p w14:paraId="39B0CD78"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r>
      <w:tr w:rsidR="00794BC1" w:rsidRPr="005D28F4" w14:paraId="028DD472"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4B729407"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2017</w:t>
            </w:r>
          </w:p>
        </w:tc>
        <w:tc>
          <w:tcPr>
            <w:tcW w:w="1040" w:type="dxa"/>
            <w:tcBorders>
              <w:top w:val="nil"/>
              <w:left w:val="single" w:sz="4" w:space="0" w:color="auto"/>
              <w:bottom w:val="nil"/>
              <w:right w:val="single" w:sz="4" w:space="0" w:color="auto"/>
            </w:tcBorders>
            <w:shd w:val="clear" w:color="auto" w:fill="auto"/>
            <w:noWrap/>
            <w:vAlign w:val="bottom"/>
            <w:hideMark/>
          </w:tcPr>
          <w:p w14:paraId="05A5A69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8.6</w:t>
            </w:r>
          </w:p>
        </w:tc>
        <w:tc>
          <w:tcPr>
            <w:tcW w:w="900" w:type="dxa"/>
            <w:tcBorders>
              <w:top w:val="nil"/>
              <w:left w:val="single" w:sz="4" w:space="0" w:color="auto"/>
              <w:bottom w:val="nil"/>
              <w:right w:val="single" w:sz="4" w:space="0" w:color="auto"/>
            </w:tcBorders>
            <w:shd w:val="clear" w:color="auto" w:fill="auto"/>
            <w:noWrap/>
            <w:vAlign w:val="bottom"/>
            <w:hideMark/>
          </w:tcPr>
          <w:p w14:paraId="3EF3A9D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24C8956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8.1</w:t>
            </w:r>
          </w:p>
        </w:tc>
        <w:tc>
          <w:tcPr>
            <w:tcW w:w="900" w:type="dxa"/>
            <w:tcBorders>
              <w:top w:val="nil"/>
              <w:left w:val="single" w:sz="4" w:space="0" w:color="auto"/>
              <w:bottom w:val="nil"/>
              <w:right w:val="single" w:sz="4" w:space="0" w:color="auto"/>
            </w:tcBorders>
            <w:shd w:val="clear" w:color="auto" w:fill="auto"/>
            <w:noWrap/>
            <w:vAlign w:val="bottom"/>
            <w:hideMark/>
          </w:tcPr>
          <w:p w14:paraId="3E18252C"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22</w:t>
            </w:r>
          </w:p>
        </w:tc>
        <w:tc>
          <w:tcPr>
            <w:tcW w:w="1080" w:type="dxa"/>
            <w:tcBorders>
              <w:top w:val="nil"/>
              <w:left w:val="single" w:sz="4" w:space="0" w:color="auto"/>
              <w:bottom w:val="nil"/>
              <w:right w:val="single" w:sz="4" w:space="0" w:color="auto"/>
            </w:tcBorders>
            <w:shd w:val="clear" w:color="auto" w:fill="auto"/>
            <w:noWrap/>
            <w:vAlign w:val="bottom"/>
            <w:hideMark/>
          </w:tcPr>
          <w:p w14:paraId="3F56EEE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w:t>
            </w:r>
          </w:p>
        </w:tc>
        <w:tc>
          <w:tcPr>
            <w:tcW w:w="900" w:type="dxa"/>
            <w:tcBorders>
              <w:top w:val="nil"/>
              <w:left w:val="single" w:sz="4" w:space="0" w:color="auto"/>
              <w:bottom w:val="nil"/>
              <w:right w:val="single" w:sz="4" w:space="0" w:color="auto"/>
            </w:tcBorders>
            <w:shd w:val="clear" w:color="auto" w:fill="auto"/>
            <w:noWrap/>
            <w:vAlign w:val="bottom"/>
            <w:hideMark/>
          </w:tcPr>
          <w:p w14:paraId="0517558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c>
          <w:tcPr>
            <w:tcW w:w="1080" w:type="dxa"/>
            <w:tcBorders>
              <w:top w:val="nil"/>
              <w:left w:val="single" w:sz="4" w:space="0" w:color="auto"/>
              <w:bottom w:val="nil"/>
              <w:right w:val="single" w:sz="4" w:space="0" w:color="auto"/>
            </w:tcBorders>
            <w:shd w:val="clear" w:color="auto" w:fill="auto"/>
            <w:noWrap/>
            <w:vAlign w:val="bottom"/>
            <w:hideMark/>
          </w:tcPr>
          <w:p w14:paraId="6B3803F0"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000000" w:fill="FFFFFF"/>
            <w:noWrap/>
            <w:vAlign w:val="bottom"/>
            <w:hideMark/>
          </w:tcPr>
          <w:p w14:paraId="5EFBF25D"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r>
      <w:tr w:rsidR="00794BC1" w:rsidRPr="005D28F4" w14:paraId="06E97F9F"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161BDA28"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2018</w:t>
            </w:r>
          </w:p>
        </w:tc>
        <w:tc>
          <w:tcPr>
            <w:tcW w:w="1040" w:type="dxa"/>
            <w:tcBorders>
              <w:top w:val="nil"/>
              <w:left w:val="single" w:sz="4" w:space="0" w:color="auto"/>
              <w:bottom w:val="nil"/>
              <w:right w:val="single" w:sz="4" w:space="0" w:color="auto"/>
            </w:tcBorders>
            <w:shd w:val="clear" w:color="auto" w:fill="auto"/>
            <w:noWrap/>
            <w:vAlign w:val="bottom"/>
            <w:hideMark/>
          </w:tcPr>
          <w:p w14:paraId="458CE19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8.1</w:t>
            </w:r>
          </w:p>
        </w:tc>
        <w:tc>
          <w:tcPr>
            <w:tcW w:w="900" w:type="dxa"/>
            <w:tcBorders>
              <w:top w:val="nil"/>
              <w:left w:val="single" w:sz="4" w:space="0" w:color="auto"/>
              <w:bottom w:val="nil"/>
              <w:right w:val="single" w:sz="4" w:space="0" w:color="auto"/>
            </w:tcBorders>
            <w:shd w:val="clear" w:color="auto" w:fill="auto"/>
            <w:noWrap/>
            <w:vAlign w:val="bottom"/>
            <w:hideMark/>
          </w:tcPr>
          <w:p w14:paraId="48B80D8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c>
          <w:tcPr>
            <w:tcW w:w="1080" w:type="dxa"/>
            <w:tcBorders>
              <w:top w:val="nil"/>
              <w:left w:val="single" w:sz="4" w:space="0" w:color="auto"/>
              <w:bottom w:val="nil"/>
              <w:right w:val="single" w:sz="4" w:space="0" w:color="auto"/>
            </w:tcBorders>
            <w:shd w:val="clear" w:color="auto" w:fill="auto"/>
            <w:noWrap/>
            <w:vAlign w:val="bottom"/>
            <w:hideMark/>
          </w:tcPr>
          <w:p w14:paraId="57EC483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7.7</w:t>
            </w:r>
          </w:p>
        </w:tc>
        <w:tc>
          <w:tcPr>
            <w:tcW w:w="900" w:type="dxa"/>
            <w:tcBorders>
              <w:top w:val="nil"/>
              <w:left w:val="single" w:sz="4" w:space="0" w:color="auto"/>
              <w:bottom w:val="nil"/>
              <w:right w:val="single" w:sz="4" w:space="0" w:color="auto"/>
            </w:tcBorders>
            <w:shd w:val="clear" w:color="auto" w:fill="auto"/>
            <w:noWrap/>
            <w:vAlign w:val="bottom"/>
            <w:hideMark/>
          </w:tcPr>
          <w:p w14:paraId="1E9C359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69C084C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6.8</w:t>
            </w:r>
          </w:p>
        </w:tc>
        <w:tc>
          <w:tcPr>
            <w:tcW w:w="900" w:type="dxa"/>
            <w:tcBorders>
              <w:top w:val="nil"/>
              <w:left w:val="single" w:sz="4" w:space="0" w:color="auto"/>
              <w:bottom w:val="nil"/>
              <w:right w:val="single" w:sz="4" w:space="0" w:color="auto"/>
            </w:tcBorders>
            <w:shd w:val="clear" w:color="auto" w:fill="auto"/>
            <w:noWrap/>
            <w:vAlign w:val="bottom"/>
            <w:hideMark/>
          </w:tcPr>
          <w:p w14:paraId="19B26C2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19</w:t>
            </w:r>
          </w:p>
        </w:tc>
        <w:tc>
          <w:tcPr>
            <w:tcW w:w="1080" w:type="dxa"/>
            <w:tcBorders>
              <w:top w:val="nil"/>
              <w:left w:val="single" w:sz="4" w:space="0" w:color="auto"/>
              <w:bottom w:val="nil"/>
              <w:right w:val="single" w:sz="4" w:space="0" w:color="auto"/>
            </w:tcBorders>
            <w:shd w:val="clear" w:color="auto" w:fill="auto"/>
            <w:noWrap/>
            <w:vAlign w:val="bottom"/>
            <w:hideMark/>
          </w:tcPr>
          <w:p w14:paraId="6CEB23C6" w14:textId="77777777" w:rsidR="00794BC1" w:rsidRPr="005D28F4" w:rsidRDefault="00794BC1" w:rsidP="00794BC1">
            <w:pPr>
              <w:jc w:val="right"/>
              <w:rPr>
                <w:rFonts w:eastAsia="Times New Roman" w:cs="Calibri"/>
                <w:color w:val="000000"/>
                <w:sz w:val="18"/>
                <w:szCs w:val="18"/>
              </w:rPr>
            </w:pPr>
          </w:p>
        </w:tc>
        <w:tc>
          <w:tcPr>
            <w:tcW w:w="900" w:type="dxa"/>
            <w:tcBorders>
              <w:top w:val="nil"/>
              <w:left w:val="single" w:sz="4" w:space="0" w:color="auto"/>
              <w:bottom w:val="nil"/>
              <w:right w:val="single" w:sz="4" w:space="0" w:color="auto"/>
            </w:tcBorders>
            <w:shd w:val="clear" w:color="000000" w:fill="FFFFFF"/>
            <w:noWrap/>
            <w:vAlign w:val="bottom"/>
            <w:hideMark/>
          </w:tcPr>
          <w:p w14:paraId="13C85174" w14:textId="77777777" w:rsidR="00794BC1" w:rsidRPr="005D28F4" w:rsidRDefault="00794BC1" w:rsidP="00794BC1">
            <w:pPr>
              <w:rPr>
                <w:rFonts w:eastAsia="Times New Roman" w:cs="Calibri"/>
                <w:color w:val="000000"/>
                <w:sz w:val="18"/>
                <w:szCs w:val="18"/>
              </w:rPr>
            </w:pPr>
            <w:r w:rsidRPr="005D28F4">
              <w:rPr>
                <w:rFonts w:eastAsia="Times New Roman" w:cs="Calibri"/>
                <w:color w:val="000000"/>
                <w:sz w:val="18"/>
                <w:szCs w:val="18"/>
              </w:rPr>
              <w:t> </w:t>
            </w:r>
          </w:p>
        </w:tc>
      </w:tr>
      <w:tr w:rsidR="00794BC1" w:rsidRPr="005D28F4" w14:paraId="0196324E"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46D1BE3E"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2019</w:t>
            </w:r>
          </w:p>
        </w:tc>
        <w:tc>
          <w:tcPr>
            <w:tcW w:w="1040" w:type="dxa"/>
            <w:tcBorders>
              <w:top w:val="nil"/>
              <w:left w:val="single" w:sz="4" w:space="0" w:color="auto"/>
              <w:bottom w:val="nil"/>
              <w:right w:val="single" w:sz="4" w:space="0" w:color="auto"/>
            </w:tcBorders>
            <w:shd w:val="clear" w:color="auto" w:fill="auto"/>
            <w:noWrap/>
            <w:vAlign w:val="bottom"/>
            <w:hideMark/>
          </w:tcPr>
          <w:p w14:paraId="777C354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7.5</w:t>
            </w:r>
          </w:p>
        </w:tc>
        <w:tc>
          <w:tcPr>
            <w:tcW w:w="900" w:type="dxa"/>
            <w:tcBorders>
              <w:top w:val="nil"/>
              <w:left w:val="single" w:sz="4" w:space="0" w:color="auto"/>
              <w:bottom w:val="nil"/>
              <w:right w:val="single" w:sz="4" w:space="0" w:color="auto"/>
            </w:tcBorders>
            <w:shd w:val="clear" w:color="auto" w:fill="auto"/>
            <w:noWrap/>
            <w:vAlign w:val="bottom"/>
            <w:hideMark/>
          </w:tcPr>
          <w:p w14:paraId="7315B09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19</w:t>
            </w:r>
          </w:p>
        </w:tc>
        <w:tc>
          <w:tcPr>
            <w:tcW w:w="1080" w:type="dxa"/>
            <w:tcBorders>
              <w:top w:val="nil"/>
              <w:left w:val="single" w:sz="4" w:space="0" w:color="auto"/>
              <w:bottom w:val="nil"/>
              <w:right w:val="single" w:sz="4" w:space="0" w:color="auto"/>
            </w:tcBorders>
            <w:shd w:val="clear" w:color="auto" w:fill="auto"/>
            <w:noWrap/>
            <w:vAlign w:val="bottom"/>
            <w:hideMark/>
          </w:tcPr>
          <w:p w14:paraId="2223DCE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7.6</w:t>
            </w:r>
          </w:p>
        </w:tc>
        <w:tc>
          <w:tcPr>
            <w:tcW w:w="900" w:type="dxa"/>
            <w:tcBorders>
              <w:top w:val="nil"/>
              <w:left w:val="single" w:sz="4" w:space="0" w:color="auto"/>
              <w:bottom w:val="nil"/>
              <w:right w:val="single" w:sz="4" w:space="0" w:color="auto"/>
            </w:tcBorders>
            <w:shd w:val="clear" w:color="auto" w:fill="auto"/>
            <w:noWrap/>
            <w:vAlign w:val="bottom"/>
            <w:hideMark/>
          </w:tcPr>
          <w:p w14:paraId="54DF751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c>
          <w:tcPr>
            <w:tcW w:w="1080" w:type="dxa"/>
            <w:tcBorders>
              <w:top w:val="nil"/>
              <w:left w:val="single" w:sz="4" w:space="0" w:color="auto"/>
              <w:bottom w:val="nil"/>
              <w:right w:val="single" w:sz="4" w:space="0" w:color="auto"/>
            </w:tcBorders>
            <w:shd w:val="clear" w:color="auto" w:fill="auto"/>
            <w:noWrap/>
            <w:vAlign w:val="bottom"/>
            <w:hideMark/>
          </w:tcPr>
          <w:p w14:paraId="1B9C035F"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6.9</w:t>
            </w:r>
          </w:p>
        </w:tc>
        <w:tc>
          <w:tcPr>
            <w:tcW w:w="900" w:type="dxa"/>
            <w:tcBorders>
              <w:top w:val="nil"/>
              <w:left w:val="single" w:sz="4" w:space="0" w:color="auto"/>
              <w:bottom w:val="nil"/>
              <w:right w:val="single" w:sz="4" w:space="0" w:color="auto"/>
            </w:tcBorders>
            <w:shd w:val="clear" w:color="auto" w:fill="auto"/>
            <w:noWrap/>
            <w:vAlign w:val="bottom"/>
            <w:hideMark/>
          </w:tcPr>
          <w:p w14:paraId="4B3A0B5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18</w:t>
            </w:r>
          </w:p>
        </w:tc>
        <w:tc>
          <w:tcPr>
            <w:tcW w:w="1080" w:type="dxa"/>
            <w:tcBorders>
              <w:top w:val="nil"/>
              <w:left w:val="single" w:sz="4" w:space="0" w:color="auto"/>
              <w:bottom w:val="nil"/>
              <w:right w:val="single" w:sz="4" w:space="0" w:color="auto"/>
            </w:tcBorders>
            <w:shd w:val="clear" w:color="auto" w:fill="auto"/>
            <w:noWrap/>
            <w:vAlign w:val="bottom"/>
            <w:hideMark/>
          </w:tcPr>
          <w:p w14:paraId="0CD1A21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7.3</w:t>
            </w:r>
          </w:p>
        </w:tc>
        <w:tc>
          <w:tcPr>
            <w:tcW w:w="900" w:type="dxa"/>
            <w:tcBorders>
              <w:top w:val="nil"/>
              <w:left w:val="single" w:sz="4" w:space="0" w:color="auto"/>
              <w:bottom w:val="nil"/>
              <w:right w:val="single" w:sz="4" w:space="0" w:color="auto"/>
            </w:tcBorders>
            <w:shd w:val="clear" w:color="auto" w:fill="auto"/>
            <w:noWrap/>
            <w:vAlign w:val="bottom"/>
            <w:hideMark/>
          </w:tcPr>
          <w:p w14:paraId="6143D02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19</w:t>
            </w:r>
          </w:p>
        </w:tc>
      </w:tr>
      <w:tr w:rsidR="00794BC1" w:rsidRPr="005D28F4" w14:paraId="120223E2" w14:textId="77777777" w:rsidTr="00794BC1">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7A1499A6"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2020</w:t>
            </w:r>
          </w:p>
        </w:tc>
        <w:tc>
          <w:tcPr>
            <w:tcW w:w="1040" w:type="dxa"/>
            <w:tcBorders>
              <w:top w:val="nil"/>
              <w:left w:val="single" w:sz="4" w:space="0" w:color="auto"/>
              <w:bottom w:val="nil"/>
              <w:right w:val="single" w:sz="4" w:space="0" w:color="auto"/>
            </w:tcBorders>
            <w:shd w:val="clear" w:color="auto" w:fill="auto"/>
            <w:noWrap/>
            <w:vAlign w:val="bottom"/>
            <w:hideMark/>
          </w:tcPr>
          <w:p w14:paraId="035761C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7.9</w:t>
            </w:r>
          </w:p>
        </w:tc>
        <w:tc>
          <w:tcPr>
            <w:tcW w:w="900" w:type="dxa"/>
            <w:tcBorders>
              <w:top w:val="nil"/>
              <w:left w:val="single" w:sz="4" w:space="0" w:color="auto"/>
              <w:bottom w:val="nil"/>
              <w:right w:val="single" w:sz="4" w:space="0" w:color="auto"/>
            </w:tcBorders>
            <w:shd w:val="clear" w:color="auto" w:fill="auto"/>
            <w:noWrap/>
            <w:vAlign w:val="bottom"/>
            <w:hideMark/>
          </w:tcPr>
          <w:p w14:paraId="4A4FDB7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74A2ACC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7.7</w:t>
            </w:r>
          </w:p>
        </w:tc>
        <w:tc>
          <w:tcPr>
            <w:tcW w:w="900" w:type="dxa"/>
            <w:tcBorders>
              <w:top w:val="nil"/>
              <w:left w:val="single" w:sz="4" w:space="0" w:color="auto"/>
              <w:bottom w:val="nil"/>
              <w:right w:val="single" w:sz="4" w:space="0" w:color="auto"/>
            </w:tcBorders>
            <w:shd w:val="clear" w:color="auto" w:fill="auto"/>
            <w:noWrap/>
            <w:vAlign w:val="bottom"/>
            <w:hideMark/>
          </w:tcPr>
          <w:p w14:paraId="1FCB64FA"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58ED891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7.4</w:t>
            </w:r>
          </w:p>
        </w:tc>
        <w:tc>
          <w:tcPr>
            <w:tcW w:w="900" w:type="dxa"/>
            <w:tcBorders>
              <w:top w:val="nil"/>
              <w:left w:val="single" w:sz="4" w:space="0" w:color="auto"/>
              <w:bottom w:val="nil"/>
              <w:right w:val="single" w:sz="4" w:space="0" w:color="auto"/>
            </w:tcBorders>
            <w:shd w:val="clear" w:color="auto" w:fill="auto"/>
            <w:noWrap/>
            <w:vAlign w:val="bottom"/>
            <w:hideMark/>
          </w:tcPr>
          <w:p w14:paraId="2BB0E8A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c>
          <w:tcPr>
            <w:tcW w:w="1080" w:type="dxa"/>
            <w:tcBorders>
              <w:top w:val="nil"/>
              <w:left w:val="single" w:sz="4" w:space="0" w:color="auto"/>
              <w:bottom w:val="nil"/>
              <w:right w:val="single" w:sz="4" w:space="0" w:color="auto"/>
            </w:tcBorders>
            <w:shd w:val="clear" w:color="auto" w:fill="auto"/>
            <w:noWrap/>
            <w:vAlign w:val="bottom"/>
            <w:hideMark/>
          </w:tcPr>
          <w:p w14:paraId="3CDA62C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8.0</w:t>
            </w:r>
          </w:p>
        </w:tc>
        <w:tc>
          <w:tcPr>
            <w:tcW w:w="900" w:type="dxa"/>
            <w:tcBorders>
              <w:top w:val="nil"/>
              <w:left w:val="single" w:sz="4" w:space="0" w:color="auto"/>
              <w:bottom w:val="nil"/>
              <w:right w:val="single" w:sz="4" w:space="0" w:color="auto"/>
            </w:tcBorders>
            <w:shd w:val="clear" w:color="auto" w:fill="auto"/>
            <w:noWrap/>
            <w:vAlign w:val="bottom"/>
            <w:hideMark/>
          </w:tcPr>
          <w:p w14:paraId="210D304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r>
      <w:tr w:rsidR="00794BC1" w:rsidRPr="005D28F4" w14:paraId="2275EDA7" w14:textId="77777777" w:rsidTr="00535F9C">
        <w:trPr>
          <w:trHeight w:val="70"/>
        </w:trPr>
        <w:tc>
          <w:tcPr>
            <w:tcW w:w="840" w:type="dxa"/>
            <w:tcBorders>
              <w:top w:val="nil"/>
              <w:left w:val="single" w:sz="8" w:space="0" w:color="auto"/>
              <w:bottom w:val="nil"/>
              <w:right w:val="single" w:sz="4" w:space="0" w:color="auto"/>
            </w:tcBorders>
            <w:shd w:val="clear" w:color="auto" w:fill="auto"/>
            <w:noWrap/>
            <w:vAlign w:val="bottom"/>
            <w:hideMark/>
          </w:tcPr>
          <w:p w14:paraId="772753E3"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2021</w:t>
            </w:r>
          </w:p>
        </w:tc>
        <w:tc>
          <w:tcPr>
            <w:tcW w:w="1040" w:type="dxa"/>
            <w:tcBorders>
              <w:top w:val="nil"/>
              <w:left w:val="single" w:sz="4" w:space="0" w:color="auto"/>
              <w:bottom w:val="nil"/>
              <w:right w:val="single" w:sz="4" w:space="0" w:color="auto"/>
            </w:tcBorders>
            <w:shd w:val="clear" w:color="auto" w:fill="auto"/>
            <w:noWrap/>
            <w:vAlign w:val="bottom"/>
            <w:hideMark/>
          </w:tcPr>
          <w:p w14:paraId="3ACA33E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8.1</w:t>
            </w:r>
          </w:p>
        </w:tc>
        <w:tc>
          <w:tcPr>
            <w:tcW w:w="900" w:type="dxa"/>
            <w:tcBorders>
              <w:top w:val="nil"/>
              <w:left w:val="single" w:sz="4" w:space="0" w:color="auto"/>
              <w:bottom w:val="nil"/>
              <w:right w:val="single" w:sz="4" w:space="0" w:color="auto"/>
            </w:tcBorders>
            <w:shd w:val="clear" w:color="auto" w:fill="auto"/>
            <w:noWrap/>
            <w:vAlign w:val="bottom"/>
            <w:hideMark/>
          </w:tcPr>
          <w:p w14:paraId="7A3642A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22</w:t>
            </w:r>
          </w:p>
        </w:tc>
        <w:tc>
          <w:tcPr>
            <w:tcW w:w="1080" w:type="dxa"/>
            <w:tcBorders>
              <w:top w:val="nil"/>
              <w:left w:val="single" w:sz="4" w:space="0" w:color="auto"/>
              <w:bottom w:val="nil"/>
              <w:right w:val="single" w:sz="4" w:space="0" w:color="auto"/>
            </w:tcBorders>
            <w:shd w:val="clear" w:color="auto" w:fill="auto"/>
            <w:noWrap/>
            <w:vAlign w:val="bottom"/>
            <w:hideMark/>
          </w:tcPr>
          <w:p w14:paraId="0EA774FC"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7.8</w:t>
            </w:r>
          </w:p>
        </w:tc>
        <w:tc>
          <w:tcPr>
            <w:tcW w:w="900" w:type="dxa"/>
            <w:tcBorders>
              <w:top w:val="nil"/>
              <w:left w:val="single" w:sz="4" w:space="0" w:color="auto"/>
              <w:bottom w:val="nil"/>
              <w:right w:val="single" w:sz="4" w:space="0" w:color="auto"/>
            </w:tcBorders>
            <w:shd w:val="clear" w:color="auto" w:fill="auto"/>
            <w:noWrap/>
            <w:vAlign w:val="bottom"/>
            <w:hideMark/>
          </w:tcPr>
          <w:p w14:paraId="493F8E2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263C9D19"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7.5</w:t>
            </w:r>
          </w:p>
        </w:tc>
        <w:tc>
          <w:tcPr>
            <w:tcW w:w="900" w:type="dxa"/>
            <w:tcBorders>
              <w:top w:val="nil"/>
              <w:left w:val="single" w:sz="4" w:space="0" w:color="auto"/>
              <w:bottom w:val="nil"/>
              <w:right w:val="single" w:sz="4" w:space="0" w:color="auto"/>
            </w:tcBorders>
            <w:shd w:val="clear" w:color="auto" w:fill="auto"/>
            <w:noWrap/>
            <w:vAlign w:val="bottom"/>
            <w:hideMark/>
          </w:tcPr>
          <w:p w14:paraId="7E638D63"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nil"/>
              <w:right w:val="single" w:sz="4" w:space="0" w:color="auto"/>
            </w:tcBorders>
            <w:shd w:val="clear" w:color="auto" w:fill="auto"/>
            <w:noWrap/>
            <w:vAlign w:val="bottom"/>
            <w:hideMark/>
          </w:tcPr>
          <w:p w14:paraId="4C340FD7"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8.2</w:t>
            </w:r>
          </w:p>
        </w:tc>
        <w:tc>
          <w:tcPr>
            <w:tcW w:w="900" w:type="dxa"/>
            <w:tcBorders>
              <w:top w:val="nil"/>
              <w:left w:val="single" w:sz="4" w:space="0" w:color="auto"/>
              <w:bottom w:val="nil"/>
              <w:right w:val="single" w:sz="4" w:space="0" w:color="auto"/>
            </w:tcBorders>
            <w:shd w:val="clear" w:color="auto" w:fill="auto"/>
            <w:noWrap/>
            <w:vAlign w:val="bottom"/>
            <w:hideMark/>
          </w:tcPr>
          <w:p w14:paraId="04509522"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20</w:t>
            </w:r>
          </w:p>
        </w:tc>
      </w:tr>
      <w:tr w:rsidR="00794BC1" w:rsidRPr="005D28F4" w14:paraId="47E37CDB" w14:textId="77777777" w:rsidTr="00535F9C">
        <w:trPr>
          <w:trHeight w:val="70"/>
        </w:trPr>
        <w:tc>
          <w:tcPr>
            <w:tcW w:w="840" w:type="dxa"/>
            <w:tcBorders>
              <w:top w:val="nil"/>
              <w:left w:val="single" w:sz="8" w:space="0" w:color="auto"/>
              <w:bottom w:val="single" w:sz="8" w:space="0" w:color="auto"/>
              <w:right w:val="single" w:sz="4" w:space="0" w:color="auto"/>
            </w:tcBorders>
            <w:shd w:val="clear" w:color="auto" w:fill="auto"/>
            <w:noWrap/>
            <w:vAlign w:val="bottom"/>
            <w:hideMark/>
          </w:tcPr>
          <w:p w14:paraId="212AF144" w14:textId="77777777" w:rsidR="00794BC1" w:rsidRPr="005D28F4" w:rsidRDefault="00794BC1" w:rsidP="00794BC1">
            <w:pPr>
              <w:jc w:val="center"/>
              <w:rPr>
                <w:rFonts w:eastAsia="Times New Roman" w:cs="Calibri"/>
                <w:b/>
                <w:bCs/>
                <w:color w:val="000000"/>
                <w:sz w:val="18"/>
                <w:szCs w:val="18"/>
              </w:rPr>
            </w:pPr>
            <w:r w:rsidRPr="005D28F4">
              <w:rPr>
                <w:rFonts w:eastAsia="Times New Roman" w:cs="Calibri"/>
                <w:b/>
                <w:bCs/>
                <w:color w:val="000000"/>
                <w:sz w:val="18"/>
                <w:szCs w:val="18"/>
              </w:rPr>
              <w:t>2022</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7769021"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6A83EDF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24D34D5"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7.6</w:t>
            </w:r>
          </w:p>
        </w:tc>
        <w:tc>
          <w:tcPr>
            <w:tcW w:w="900" w:type="dxa"/>
            <w:tcBorders>
              <w:top w:val="nil"/>
              <w:left w:val="single" w:sz="4" w:space="0" w:color="auto"/>
              <w:bottom w:val="single" w:sz="8" w:space="0" w:color="auto"/>
              <w:right w:val="single" w:sz="4" w:space="0" w:color="auto"/>
            </w:tcBorders>
            <w:shd w:val="clear" w:color="auto" w:fill="auto"/>
            <w:noWrap/>
            <w:vAlign w:val="bottom"/>
            <w:hideMark/>
          </w:tcPr>
          <w:p w14:paraId="46F0C53E"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DCBAAA6"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7.4</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95E74F4"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B97588"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8.2</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10DEA16D" w14:textId="77777777" w:rsidR="00794BC1" w:rsidRPr="005D28F4" w:rsidRDefault="00794BC1" w:rsidP="00794BC1">
            <w:pPr>
              <w:jc w:val="right"/>
              <w:rPr>
                <w:rFonts w:eastAsia="Times New Roman" w:cs="Calibri"/>
                <w:color w:val="000000"/>
                <w:sz w:val="18"/>
                <w:szCs w:val="18"/>
              </w:rPr>
            </w:pPr>
            <w:r w:rsidRPr="005D28F4">
              <w:rPr>
                <w:rFonts w:eastAsia="Times New Roman" w:cs="Calibri"/>
                <w:color w:val="000000"/>
                <w:sz w:val="18"/>
                <w:szCs w:val="18"/>
              </w:rPr>
              <w:t>21</w:t>
            </w:r>
          </w:p>
        </w:tc>
      </w:tr>
    </w:tbl>
    <w:p w14:paraId="7D39C87A" w14:textId="77777777" w:rsidR="005D28F4" w:rsidRDefault="005D28F4" w:rsidP="00535F9C">
      <w:pPr>
        <w:textAlignment w:val="baseline"/>
        <w:rPr>
          <w:rFonts w:ascii="Public Sans" w:hAnsi="Public Sans"/>
        </w:rPr>
      </w:pPr>
    </w:p>
    <w:p w14:paraId="2CCCF83E" w14:textId="77777777" w:rsidR="005D28F4" w:rsidRDefault="005D28F4" w:rsidP="005D28F4">
      <w:pPr>
        <w:ind w:left="720"/>
        <w:textAlignment w:val="baseline"/>
        <w:rPr>
          <w:rFonts w:ascii="Public Sans" w:hAnsi="Public Sans"/>
        </w:rPr>
      </w:pPr>
    </w:p>
    <w:p w14:paraId="4E5C292E" w14:textId="77777777" w:rsidR="00592327" w:rsidRPr="004D4271" w:rsidRDefault="00592327" w:rsidP="00592327">
      <w:pPr>
        <w:pStyle w:val="Heading2"/>
        <w:rPr>
          <w:rFonts w:ascii="Public Sans" w:eastAsia="Times New Roman" w:hAnsi="Public Sans" w:cs="Times New Roman"/>
          <w:b/>
          <w:bCs/>
          <w:color w:val="auto"/>
          <w:sz w:val="18"/>
          <w:szCs w:val="18"/>
        </w:rPr>
      </w:pPr>
      <w:r w:rsidRPr="004D4271">
        <w:rPr>
          <w:rFonts w:ascii="Public Sans" w:hAnsi="Public Sans" w:cs="Times New Roman"/>
          <w:b/>
          <w:bCs/>
          <w:color w:val="auto"/>
        </w:rPr>
        <w:t>Conclusion</w:t>
      </w:r>
    </w:p>
    <w:p w14:paraId="40A4AE91" w14:textId="77777777" w:rsidR="00592327" w:rsidRPr="004D4271" w:rsidRDefault="00592327" w:rsidP="00592327">
      <w:pPr>
        <w:rPr>
          <w:rFonts w:ascii="Public Sans" w:hAnsi="Public Sans"/>
        </w:rPr>
      </w:pPr>
    </w:p>
    <w:p w14:paraId="08C9B6E3" w14:textId="77777777" w:rsidR="00592327" w:rsidRPr="004D4271" w:rsidRDefault="00592327" w:rsidP="00592327">
      <w:pPr>
        <w:rPr>
          <w:rFonts w:ascii="Public Sans" w:hAnsi="Public Sans"/>
        </w:rPr>
      </w:pPr>
      <w:r w:rsidRPr="004D4271">
        <w:rPr>
          <w:rFonts w:ascii="Public Sans" w:hAnsi="Public Sans"/>
        </w:rPr>
        <w:t>Based on the comments submitted by interested parties and addressed in this report</w:t>
      </w:r>
      <w:r w:rsidR="00B873C6" w:rsidRPr="004D4271">
        <w:rPr>
          <w:rFonts w:ascii="Public Sans" w:hAnsi="Public Sans"/>
        </w:rPr>
        <w:t>,</w:t>
      </w:r>
      <w:r w:rsidR="00B873C6">
        <w:rPr>
          <w:rFonts w:ascii="Public Sans" w:hAnsi="Public Sans"/>
        </w:rPr>
        <w:t xml:space="preserve"> I</w:t>
      </w:r>
      <w:r w:rsidRPr="004D4271">
        <w:rPr>
          <w:rFonts w:ascii="Public Sans" w:hAnsi="Public Sans"/>
        </w:rPr>
        <w:t xml:space="preserve"> recommend that the SIP revision, revised as recommended in this report, be submitted to EPA for approval.</w:t>
      </w:r>
    </w:p>
    <w:p w14:paraId="3D79DD82" w14:textId="77777777" w:rsidR="00592327" w:rsidRPr="004D4271" w:rsidRDefault="00592327" w:rsidP="00592327">
      <w:pPr>
        <w:rPr>
          <w:rFonts w:ascii="Public Sans" w:hAnsi="Public Sans"/>
        </w:rPr>
      </w:pPr>
    </w:p>
    <w:p w14:paraId="0733A32A" w14:textId="42609AB0" w:rsidR="00592327" w:rsidRPr="004D4271" w:rsidRDefault="00592327" w:rsidP="00592327">
      <w:pPr>
        <w:rPr>
          <w:rFonts w:ascii="Public Sans" w:hAnsi="Public Sans"/>
        </w:rPr>
      </w:pPr>
      <w:r w:rsidRPr="004D4271">
        <w:rPr>
          <w:rFonts w:ascii="Public Sans" w:hAnsi="Public Sans"/>
          <w:u w:val="single"/>
        </w:rPr>
        <w:t>/s/ Daniella Lopez</w:t>
      </w:r>
      <w:r w:rsidRPr="004D4271">
        <w:rPr>
          <w:rFonts w:ascii="Public Sans" w:hAnsi="Public Sans"/>
        </w:rPr>
        <w:tab/>
      </w:r>
      <w:r w:rsidRPr="004D4271">
        <w:rPr>
          <w:rFonts w:ascii="Public Sans" w:hAnsi="Public Sans"/>
        </w:rPr>
        <w:tab/>
      </w:r>
      <w:r w:rsidRPr="004D4271">
        <w:rPr>
          <w:rFonts w:ascii="Public Sans" w:hAnsi="Public Sans"/>
        </w:rPr>
        <w:tab/>
      </w:r>
      <w:r w:rsidRPr="004D4271">
        <w:rPr>
          <w:rFonts w:ascii="Public Sans" w:hAnsi="Public Sans"/>
        </w:rPr>
        <w:tab/>
      </w:r>
      <w:r w:rsidRPr="004D4271">
        <w:rPr>
          <w:rFonts w:ascii="Public Sans" w:hAnsi="Public Sans"/>
        </w:rPr>
        <w:tab/>
      </w:r>
      <w:r w:rsidR="001B416F">
        <w:rPr>
          <w:rFonts w:ascii="Public Sans" w:hAnsi="Public Sans"/>
          <w:u w:val="single"/>
        </w:rPr>
        <w:t xml:space="preserve">March </w:t>
      </w:r>
      <w:r w:rsidR="00420D64">
        <w:rPr>
          <w:rFonts w:ascii="Public Sans" w:hAnsi="Public Sans"/>
          <w:u w:val="single"/>
        </w:rPr>
        <w:t>3</w:t>
      </w:r>
      <w:r w:rsidR="001B416F">
        <w:rPr>
          <w:rFonts w:ascii="Public Sans" w:hAnsi="Public Sans"/>
          <w:u w:val="single"/>
        </w:rPr>
        <w:t>0</w:t>
      </w:r>
      <w:r w:rsidRPr="004D4271">
        <w:rPr>
          <w:rFonts w:ascii="Public Sans" w:hAnsi="Public Sans"/>
          <w:u w:val="single"/>
        </w:rPr>
        <w:t>, 2023</w:t>
      </w:r>
    </w:p>
    <w:p w14:paraId="63073B0D" w14:textId="51E4F597" w:rsidR="00592327" w:rsidRPr="004D4271" w:rsidRDefault="000A3C48" w:rsidP="00592327">
      <w:pPr>
        <w:rPr>
          <w:rFonts w:ascii="Public Sans" w:hAnsi="Public Sans"/>
        </w:rPr>
      </w:pPr>
      <w:r>
        <w:rPr>
          <w:rFonts w:ascii="Public Sans" w:hAnsi="Public Sans"/>
        </w:rPr>
        <w:t>Daniella Lopez</w:t>
      </w:r>
      <w:r>
        <w:rPr>
          <w:rFonts w:ascii="Public Sans" w:hAnsi="Public Sans"/>
        </w:rPr>
        <w:tab/>
      </w:r>
      <w:r>
        <w:rPr>
          <w:rFonts w:ascii="Public Sans" w:hAnsi="Public Sans"/>
        </w:rPr>
        <w:tab/>
      </w:r>
      <w:bookmarkStart w:id="1" w:name="_GoBack"/>
      <w:bookmarkEnd w:id="1"/>
      <w:r w:rsidR="00592327" w:rsidRPr="004D4271">
        <w:rPr>
          <w:rFonts w:ascii="Public Sans" w:hAnsi="Public Sans"/>
        </w:rPr>
        <w:tab/>
      </w:r>
      <w:r w:rsidR="00592327" w:rsidRPr="004D4271">
        <w:rPr>
          <w:rFonts w:ascii="Public Sans" w:hAnsi="Public Sans"/>
        </w:rPr>
        <w:tab/>
      </w:r>
      <w:r w:rsidR="00592327" w:rsidRPr="004D4271">
        <w:rPr>
          <w:rFonts w:ascii="Public Sans" w:hAnsi="Public Sans"/>
        </w:rPr>
        <w:tab/>
        <w:t>Date</w:t>
      </w:r>
    </w:p>
    <w:p w14:paraId="277155CA" w14:textId="77777777" w:rsidR="00953B63" w:rsidRPr="004D4271" w:rsidRDefault="00953B63" w:rsidP="00953B63">
      <w:pPr>
        <w:rPr>
          <w:rFonts w:ascii="Public Sans" w:hAnsi="Public Sans"/>
        </w:rPr>
      </w:pPr>
    </w:p>
    <w:p w14:paraId="41F4E7B8" w14:textId="77777777" w:rsidR="00953B63" w:rsidRPr="004D4271" w:rsidRDefault="00953B63" w:rsidP="00953B63">
      <w:pPr>
        <w:rPr>
          <w:rFonts w:ascii="Public Sans" w:hAnsi="Public Sans"/>
        </w:rPr>
      </w:pPr>
    </w:p>
    <w:p w14:paraId="6BF18C61" w14:textId="77777777" w:rsidR="00953B63" w:rsidRPr="004D4271" w:rsidRDefault="00953B63" w:rsidP="00953B63">
      <w:pPr>
        <w:rPr>
          <w:rFonts w:ascii="Public Sans" w:hAnsi="Public Sans"/>
        </w:rPr>
      </w:pPr>
    </w:p>
    <w:sectPr w:rsidR="00953B63" w:rsidRPr="004D4271" w:rsidSect="00393276">
      <w:headerReference w:type="default" r:id="rId13"/>
      <w:footerReference w:type="default" r:id="rId14"/>
      <w:headerReference w:type="first" r:id="rId15"/>
      <w:pgSz w:w="12240" w:h="15840"/>
      <w:pgMar w:top="1440" w:right="1440" w:bottom="1440" w:left="1440" w:header="100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928C6" w14:textId="77777777" w:rsidR="00133F24" w:rsidRDefault="00133F24" w:rsidP="00B04553">
      <w:r>
        <w:separator/>
      </w:r>
    </w:p>
  </w:endnote>
  <w:endnote w:type="continuationSeparator" w:id="0">
    <w:p w14:paraId="0B6A3AB8" w14:textId="77777777" w:rsidR="00133F24" w:rsidRDefault="00133F24" w:rsidP="00B0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BD311" w14:textId="77777777" w:rsidR="00B04553" w:rsidRDefault="00B04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B6D22" w14:textId="77777777" w:rsidR="00133F24" w:rsidRDefault="00133F24" w:rsidP="00B04553">
      <w:r>
        <w:separator/>
      </w:r>
    </w:p>
  </w:footnote>
  <w:footnote w:type="continuationSeparator" w:id="0">
    <w:p w14:paraId="3BF89BE3" w14:textId="77777777" w:rsidR="00133F24" w:rsidRDefault="00133F24" w:rsidP="00B04553">
      <w:r>
        <w:continuationSeparator/>
      </w:r>
    </w:p>
  </w:footnote>
  <w:footnote w:id="1">
    <w:p w14:paraId="11097C1F" w14:textId="77777777" w:rsidR="00592327" w:rsidRPr="0047033D" w:rsidRDefault="00592327" w:rsidP="00592327">
      <w:pPr>
        <w:pStyle w:val="FootnoteText"/>
        <w:rPr>
          <w:rFonts w:ascii="Public Sans" w:hAnsi="Public Sans" w:cs="Times New Roman"/>
          <w:sz w:val="18"/>
          <w:szCs w:val="18"/>
        </w:rPr>
      </w:pPr>
      <w:r w:rsidRPr="0047033D">
        <w:rPr>
          <w:rStyle w:val="FootnoteReference"/>
          <w:rFonts w:ascii="Public Sans" w:hAnsi="Public Sans" w:cs="Times New Roman"/>
          <w:sz w:val="18"/>
          <w:szCs w:val="18"/>
        </w:rPr>
        <w:footnoteRef/>
      </w:r>
      <w:r w:rsidRPr="0047033D">
        <w:rPr>
          <w:rFonts w:ascii="Public Sans" w:hAnsi="Public Sans" w:cs="Times New Roman"/>
          <w:sz w:val="18"/>
          <w:szCs w:val="18"/>
        </w:rPr>
        <w:t xml:space="preserve"> https://portal.ct.gov/DEEP/Air/Planning/Particulate-Matter/PM25-Planning-Efforts-Attainment-Designations</w:t>
      </w:r>
    </w:p>
  </w:footnote>
  <w:footnote w:id="2">
    <w:p w14:paraId="33EB74B3" w14:textId="77777777" w:rsidR="00592327" w:rsidRPr="0047033D" w:rsidRDefault="00592327" w:rsidP="00592327">
      <w:pPr>
        <w:pStyle w:val="FootnoteText"/>
        <w:rPr>
          <w:rFonts w:ascii="Public Sans" w:hAnsi="Public Sans" w:cs="Times New Roman"/>
          <w:sz w:val="18"/>
          <w:szCs w:val="18"/>
        </w:rPr>
      </w:pPr>
      <w:r w:rsidRPr="0047033D">
        <w:rPr>
          <w:rStyle w:val="FootnoteReference"/>
          <w:rFonts w:ascii="Public Sans" w:hAnsi="Public Sans"/>
        </w:rPr>
        <w:footnoteRef/>
      </w:r>
      <w:r w:rsidRPr="0047033D">
        <w:rPr>
          <w:rFonts w:ascii="Public Sans" w:hAnsi="Public Sans"/>
        </w:rPr>
        <w:t xml:space="preserve"> </w:t>
      </w:r>
      <w:r w:rsidRPr="0047033D">
        <w:rPr>
          <w:rFonts w:ascii="Public Sans" w:hAnsi="Public Sans" w:cs="Times New Roman"/>
          <w:sz w:val="18"/>
          <w:szCs w:val="18"/>
        </w:rPr>
        <w:t>https://www.epa.gov/aqs</w:t>
      </w:r>
    </w:p>
  </w:footnote>
  <w:footnote w:id="3">
    <w:p w14:paraId="6AE8BCC9" w14:textId="77777777" w:rsidR="00592327" w:rsidRPr="00624174" w:rsidRDefault="00592327" w:rsidP="00592327">
      <w:pPr>
        <w:pStyle w:val="FootnoteText"/>
        <w:rPr>
          <w:rFonts w:ascii="Public Sans" w:hAnsi="Public Sans"/>
        </w:rPr>
      </w:pPr>
      <w:r w:rsidRPr="00624174">
        <w:rPr>
          <w:rStyle w:val="FootnoteReference"/>
          <w:rFonts w:ascii="Public Sans" w:hAnsi="Public Sans"/>
          <w:sz w:val="18"/>
          <w:szCs w:val="18"/>
        </w:rPr>
        <w:footnoteRef/>
      </w:r>
      <w:r w:rsidRPr="00624174">
        <w:rPr>
          <w:rFonts w:ascii="Public Sans" w:hAnsi="Public Sans"/>
          <w:sz w:val="18"/>
          <w:szCs w:val="18"/>
        </w:rPr>
        <w:t xml:space="preserve"> </w:t>
      </w:r>
      <w:r w:rsidR="002756B6">
        <w:rPr>
          <w:rFonts w:ascii="Public Sans" w:hAnsi="Public Sans"/>
          <w:sz w:val="18"/>
          <w:szCs w:val="18"/>
        </w:rPr>
        <w:t xml:space="preserve">Design values can be confirmed at </w:t>
      </w:r>
      <w:r w:rsidRPr="00624174">
        <w:rPr>
          <w:rFonts w:ascii="Public Sans" w:hAnsi="Public Sans"/>
          <w:sz w:val="18"/>
          <w:szCs w:val="18"/>
        </w:rPr>
        <w:t>https://www.epa.gov/air-trends/design-value-interactive-tool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6E05" w14:textId="77777777" w:rsidR="00B04553" w:rsidRDefault="00B04553" w:rsidP="004613E2">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F4FB2" w14:textId="77777777" w:rsidR="00393276" w:rsidRDefault="00393276" w:rsidP="00393276">
    <w:pPr>
      <w:pStyle w:val="Header"/>
      <w:tabs>
        <w:tab w:val="clear" w:pos="4680"/>
        <w:tab w:val="clear" w:pos="9360"/>
        <w:tab w:val="left" w:pos="1522"/>
      </w:tabs>
    </w:pPr>
    <w:r>
      <w:rPr>
        <w:noProof/>
      </w:rPr>
      <mc:AlternateContent>
        <mc:Choice Requires="wps">
          <w:drawing>
            <wp:anchor distT="0" distB="0" distL="114300" distR="114300" simplePos="0" relativeHeight="251667968" behindDoc="0" locked="0" layoutInCell="1" allowOverlap="1" wp14:anchorId="671C4875" wp14:editId="43149EA6">
              <wp:simplePos x="0" y="0"/>
              <wp:positionH relativeFrom="column">
                <wp:posOffset>5079896</wp:posOffset>
              </wp:positionH>
              <wp:positionV relativeFrom="paragraph">
                <wp:posOffset>-43165</wp:posOffset>
              </wp:positionV>
              <wp:extent cx="1457325"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14:paraId="3D0BB7A3" w14:textId="77777777" w:rsidR="00393276" w:rsidRPr="00187A0E" w:rsidRDefault="00393276" w:rsidP="00393276">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71C4875" id="_x0000_t202" coordsize="21600,21600" o:spt="202" path="m,l,21600r21600,l21600,xe">
              <v:stroke joinstyle="miter"/>
              <v:path gradientshapeok="t" o:connecttype="rect"/>
            </v:shapetype>
            <v:shape id="Text Box 10" o:spid="_x0000_s1031" type="#_x0000_t202" style="position:absolute;margin-left:400pt;margin-top:-3.4pt;width:114.7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" filled="f" stroked="f" strokeweight=".5pt">
              <v:textbox>
                <w:txbxContent>
                  <w:p w14:paraId="3D0BB7A3" w14:textId="77777777" w:rsidR="00393276" w:rsidRPr="00187A0E" w:rsidRDefault="00393276" w:rsidP="00393276">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r>
      <w:rPr>
        <w:noProof/>
      </w:rPr>
      <w:drawing>
        <wp:anchor distT="0" distB="0" distL="114300" distR="114300" simplePos="0" relativeHeight="251665920" behindDoc="1" locked="0" layoutInCell="1" allowOverlap="1" wp14:anchorId="09172099" wp14:editId="574A3C56">
          <wp:simplePos x="0" y="0"/>
          <wp:positionH relativeFrom="page">
            <wp:posOffset>3498111</wp:posOffset>
          </wp:positionH>
          <wp:positionV relativeFrom="page">
            <wp:align>top</wp:align>
          </wp:positionV>
          <wp:extent cx="4583961" cy="913470"/>
          <wp:effectExtent l="0" t="0" r="7620" b="1270"/>
          <wp:wrapNone/>
          <wp:docPr id="32" name="Picture 14" descr="A green and yellow flag&#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3961" cy="91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14:anchorId="55F99644" wp14:editId="6306A58A">
          <wp:simplePos x="0" y="0"/>
          <wp:positionH relativeFrom="margin">
            <wp:posOffset>-425302</wp:posOffset>
          </wp:positionH>
          <wp:positionV relativeFrom="paragraph">
            <wp:posOffset>-241935</wp:posOffset>
          </wp:positionV>
          <wp:extent cx="2349500" cy="520065"/>
          <wp:effectExtent l="0" t="0" r="0" b="0"/>
          <wp:wrapSquare wrapText="bothSides"/>
          <wp:docPr id="33" name="Picture 2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53"/>
    <w:rsid w:val="00030AE1"/>
    <w:rsid w:val="00097E2B"/>
    <w:rsid w:val="000A3C48"/>
    <w:rsid w:val="000E0FA1"/>
    <w:rsid w:val="00116BBC"/>
    <w:rsid w:val="00131601"/>
    <w:rsid w:val="00133F24"/>
    <w:rsid w:val="00187A0E"/>
    <w:rsid w:val="001B0B26"/>
    <w:rsid w:val="001B416F"/>
    <w:rsid w:val="001E1AB7"/>
    <w:rsid w:val="001F18A0"/>
    <w:rsid w:val="002403E6"/>
    <w:rsid w:val="00266343"/>
    <w:rsid w:val="00266F8E"/>
    <w:rsid w:val="002756B6"/>
    <w:rsid w:val="002A4DE2"/>
    <w:rsid w:val="002D0898"/>
    <w:rsid w:val="002E1623"/>
    <w:rsid w:val="002E449E"/>
    <w:rsid w:val="00326AB9"/>
    <w:rsid w:val="003305DF"/>
    <w:rsid w:val="00372581"/>
    <w:rsid w:val="003730D1"/>
    <w:rsid w:val="00393276"/>
    <w:rsid w:val="003B2302"/>
    <w:rsid w:val="00420D64"/>
    <w:rsid w:val="004613E2"/>
    <w:rsid w:val="00482934"/>
    <w:rsid w:val="004D4271"/>
    <w:rsid w:val="00535F9C"/>
    <w:rsid w:val="005449E8"/>
    <w:rsid w:val="0055661F"/>
    <w:rsid w:val="00592327"/>
    <w:rsid w:val="005A4A2F"/>
    <w:rsid w:val="005B2FB3"/>
    <w:rsid w:val="005D28F4"/>
    <w:rsid w:val="00633779"/>
    <w:rsid w:val="00670B02"/>
    <w:rsid w:val="0069263C"/>
    <w:rsid w:val="006A6A6B"/>
    <w:rsid w:val="006C7EEA"/>
    <w:rsid w:val="00730930"/>
    <w:rsid w:val="00736750"/>
    <w:rsid w:val="00750328"/>
    <w:rsid w:val="00794BC1"/>
    <w:rsid w:val="007A04E1"/>
    <w:rsid w:val="0084210D"/>
    <w:rsid w:val="00847C58"/>
    <w:rsid w:val="00874027"/>
    <w:rsid w:val="008830A9"/>
    <w:rsid w:val="00897823"/>
    <w:rsid w:val="008A69EE"/>
    <w:rsid w:val="008D4D39"/>
    <w:rsid w:val="008E502C"/>
    <w:rsid w:val="00922609"/>
    <w:rsid w:val="00953B63"/>
    <w:rsid w:val="00961FD9"/>
    <w:rsid w:val="00985EBA"/>
    <w:rsid w:val="009B4359"/>
    <w:rsid w:val="009F5D7B"/>
    <w:rsid w:val="00A17F04"/>
    <w:rsid w:val="00A23B62"/>
    <w:rsid w:val="00A26BB0"/>
    <w:rsid w:val="00A9371B"/>
    <w:rsid w:val="00B04553"/>
    <w:rsid w:val="00B2200D"/>
    <w:rsid w:val="00B35B11"/>
    <w:rsid w:val="00B76018"/>
    <w:rsid w:val="00B8457A"/>
    <w:rsid w:val="00B84667"/>
    <w:rsid w:val="00B873C6"/>
    <w:rsid w:val="00BB7729"/>
    <w:rsid w:val="00BE478D"/>
    <w:rsid w:val="00BE552C"/>
    <w:rsid w:val="00C01F5E"/>
    <w:rsid w:val="00C041D7"/>
    <w:rsid w:val="00C9089D"/>
    <w:rsid w:val="00CC2766"/>
    <w:rsid w:val="00CC2FA5"/>
    <w:rsid w:val="00D12BBA"/>
    <w:rsid w:val="00D52B10"/>
    <w:rsid w:val="00D64CFE"/>
    <w:rsid w:val="00D90CA5"/>
    <w:rsid w:val="00DE02E8"/>
    <w:rsid w:val="00E65789"/>
    <w:rsid w:val="00F02390"/>
    <w:rsid w:val="00F44DB0"/>
    <w:rsid w:val="00F50638"/>
    <w:rsid w:val="00F51AD6"/>
    <w:rsid w:val="00F95496"/>
    <w:rsid w:val="00F97D9F"/>
    <w:rsid w:val="00FB5648"/>
    <w:rsid w:val="00FD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669B0"/>
  <w15:chartTrackingRefBased/>
  <w15:docId w15:val="{0B355242-96FA-498C-8BFE-0AB20C42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592327"/>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553"/>
    <w:pPr>
      <w:tabs>
        <w:tab w:val="center" w:pos="4680"/>
        <w:tab w:val="right" w:pos="9360"/>
      </w:tabs>
    </w:pPr>
  </w:style>
  <w:style w:type="character" w:customStyle="1" w:styleId="HeaderChar">
    <w:name w:val="Header Char"/>
    <w:basedOn w:val="DefaultParagraphFont"/>
    <w:link w:val="Header"/>
    <w:uiPriority w:val="99"/>
    <w:rsid w:val="00B04553"/>
  </w:style>
  <w:style w:type="paragraph" w:styleId="Footer">
    <w:name w:val="footer"/>
    <w:basedOn w:val="Normal"/>
    <w:link w:val="FooterChar"/>
    <w:uiPriority w:val="99"/>
    <w:unhideWhenUsed/>
    <w:rsid w:val="00B04553"/>
    <w:pPr>
      <w:tabs>
        <w:tab w:val="center" w:pos="4680"/>
        <w:tab w:val="right" w:pos="9360"/>
      </w:tabs>
    </w:pPr>
  </w:style>
  <w:style w:type="character" w:customStyle="1" w:styleId="FooterChar">
    <w:name w:val="Footer Char"/>
    <w:basedOn w:val="DefaultParagraphFont"/>
    <w:link w:val="Footer"/>
    <w:uiPriority w:val="99"/>
    <w:rsid w:val="00B04553"/>
  </w:style>
  <w:style w:type="table" w:styleId="TableGrid">
    <w:name w:val="Table Grid"/>
    <w:basedOn w:val="TableNormal"/>
    <w:uiPriority w:val="59"/>
    <w:rsid w:val="00B045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92327"/>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59232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9232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92327"/>
    <w:rPr>
      <w:vertAlign w:val="superscript"/>
    </w:rPr>
  </w:style>
  <w:style w:type="paragraph" w:styleId="Caption">
    <w:name w:val="caption"/>
    <w:basedOn w:val="Normal"/>
    <w:next w:val="Normal"/>
    <w:uiPriority w:val="35"/>
    <w:unhideWhenUsed/>
    <w:qFormat/>
    <w:rsid w:val="00592327"/>
    <w:pPr>
      <w:spacing w:after="200"/>
    </w:pPr>
    <w:rPr>
      <w:rFonts w:asciiTheme="minorHAnsi" w:eastAsiaTheme="minorHAnsi" w:hAnsiTheme="minorHAnsi" w:cstheme="minorBidi"/>
      <w:i/>
      <w:iCs/>
      <w:color w:val="44546A" w:themeColor="text2"/>
      <w:sz w:val="18"/>
      <w:szCs w:val="18"/>
    </w:rPr>
  </w:style>
  <w:style w:type="paragraph" w:styleId="NoSpacing">
    <w:name w:val="No Spacing"/>
    <w:uiPriority w:val="1"/>
    <w:qFormat/>
    <w:rsid w:val="004613E2"/>
    <w:rPr>
      <w:sz w:val="24"/>
      <w:szCs w:val="24"/>
    </w:rPr>
  </w:style>
  <w:style w:type="character" w:styleId="CommentReference">
    <w:name w:val="annotation reference"/>
    <w:basedOn w:val="DefaultParagraphFont"/>
    <w:uiPriority w:val="99"/>
    <w:semiHidden/>
    <w:unhideWhenUsed/>
    <w:rsid w:val="002A4DE2"/>
    <w:rPr>
      <w:sz w:val="16"/>
      <w:szCs w:val="16"/>
    </w:rPr>
  </w:style>
  <w:style w:type="paragraph" w:styleId="CommentText">
    <w:name w:val="annotation text"/>
    <w:basedOn w:val="Normal"/>
    <w:link w:val="CommentTextChar"/>
    <w:uiPriority w:val="99"/>
    <w:semiHidden/>
    <w:unhideWhenUsed/>
    <w:rsid w:val="002A4DE2"/>
    <w:rPr>
      <w:sz w:val="20"/>
      <w:szCs w:val="20"/>
    </w:rPr>
  </w:style>
  <w:style w:type="character" w:customStyle="1" w:styleId="CommentTextChar">
    <w:name w:val="Comment Text Char"/>
    <w:basedOn w:val="DefaultParagraphFont"/>
    <w:link w:val="CommentText"/>
    <w:uiPriority w:val="99"/>
    <w:semiHidden/>
    <w:rsid w:val="002A4DE2"/>
  </w:style>
  <w:style w:type="paragraph" w:styleId="CommentSubject">
    <w:name w:val="annotation subject"/>
    <w:basedOn w:val="CommentText"/>
    <w:next w:val="CommentText"/>
    <w:link w:val="CommentSubjectChar"/>
    <w:uiPriority w:val="99"/>
    <w:semiHidden/>
    <w:unhideWhenUsed/>
    <w:rsid w:val="002A4DE2"/>
    <w:rPr>
      <w:b/>
      <w:bCs/>
    </w:rPr>
  </w:style>
  <w:style w:type="character" w:customStyle="1" w:styleId="CommentSubjectChar">
    <w:name w:val="Comment Subject Char"/>
    <w:basedOn w:val="CommentTextChar"/>
    <w:link w:val="CommentSubject"/>
    <w:uiPriority w:val="99"/>
    <w:semiHidden/>
    <w:rsid w:val="002A4DE2"/>
    <w:rPr>
      <w:b/>
      <w:bCs/>
    </w:rPr>
  </w:style>
  <w:style w:type="paragraph" w:styleId="BalloonText">
    <w:name w:val="Balloon Text"/>
    <w:basedOn w:val="Normal"/>
    <w:link w:val="BalloonTextChar"/>
    <w:uiPriority w:val="99"/>
    <w:semiHidden/>
    <w:unhideWhenUsed/>
    <w:rsid w:val="002A4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DE2"/>
    <w:rPr>
      <w:rFonts w:ascii="Segoe UI" w:hAnsi="Segoe UI" w:cs="Segoe UI"/>
      <w:sz w:val="18"/>
      <w:szCs w:val="18"/>
    </w:rPr>
  </w:style>
  <w:style w:type="paragraph" w:styleId="Revision">
    <w:name w:val="Revision"/>
    <w:hidden/>
    <w:uiPriority w:val="99"/>
    <w:semiHidden/>
    <w:rsid w:val="002E449E"/>
    <w:rPr>
      <w:sz w:val="24"/>
      <w:szCs w:val="24"/>
    </w:rPr>
  </w:style>
  <w:style w:type="character" w:styleId="Hyperlink">
    <w:name w:val="Hyperlink"/>
    <w:basedOn w:val="DefaultParagraphFont"/>
    <w:uiPriority w:val="99"/>
    <w:semiHidden/>
    <w:unhideWhenUsed/>
    <w:rsid w:val="00B845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5044">
      <w:bodyDiv w:val="1"/>
      <w:marLeft w:val="0"/>
      <w:marRight w:val="0"/>
      <w:marTop w:val="0"/>
      <w:marBottom w:val="0"/>
      <w:divBdr>
        <w:top w:val="none" w:sz="0" w:space="0" w:color="auto"/>
        <w:left w:val="none" w:sz="0" w:space="0" w:color="auto"/>
        <w:bottom w:val="none" w:sz="0" w:space="0" w:color="auto"/>
        <w:right w:val="none" w:sz="0" w:space="0" w:color="auto"/>
      </w:divBdr>
    </w:div>
    <w:div w:id="49677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a.gov/air-trends/design-value-interactive-too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85CF2ACFC35842B7F6607C279E00D2" ma:contentTypeVersion="5" ma:contentTypeDescription="Create a new document." ma:contentTypeScope="" ma:versionID="49104eaa137c2fb25d530de0b9ed2ba3">
  <xsd:schema xmlns:xsd="http://www.w3.org/2001/XMLSchema" xmlns:xs="http://www.w3.org/2001/XMLSchema" xmlns:p="http://schemas.microsoft.com/office/2006/metadata/properties" xmlns:ns3="6793fdbd-6b64-432d-b2fa-f99a797eaab7" xmlns:ns4="74b1370e-1763-47ad-97cc-61f163e2f43b" targetNamespace="http://schemas.microsoft.com/office/2006/metadata/properties" ma:root="true" ma:fieldsID="1298132df0aefd969a3e4edd6593e1bf" ns3:_="" ns4:_="">
    <xsd:import namespace="6793fdbd-6b64-432d-b2fa-f99a797eaab7"/>
    <xsd:import namespace="74b1370e-1763-47ad-97cc-61f163e2f43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3fdbd-6b64-432d-b2fa-f99a797eaa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1370e-1763-47ad-97cc-61f163e2f4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99F5B-F842-4297-BD54-DA8CD0AD9602}">
  <ds:schemaRefs>
    <ds:schemaRef ds:uri="http://schemas.microsoft.com/sharepoint/v3/contenttype/forms"/>
  </ds:schemaRefs>
</ds:datastoreItem>
</file>

<file path=customXml/itemProps2.xml><?xml version="1.0" encoding="utf-8"?>
<ds:datastoreItem xmlns:ds="http://schemas.openxmlformats.org/officeDocument/2006/customXml" ds:itemID="{E84DF067-86C9-4AB9-8DD6-BC24B840E1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9EC742-E7CE-415F-956A-C30037779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3fdbd-6b64-432d-b2fa-f99a797eaab7"/>
    <ds:schemaRef ds:uri="74b1370e-1763-47ad-97cc-61f163e2f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EDF50-1DD9-464A-B8ED-4E9981FE1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Links>
    <vt:vector size="30" baseType="variant">
      <vt:variant>
        <vt:i4>3801199</vt:i4>
      </vt:variant>
      <vt:variant>
        <vt:i4>12</vt:i4>
      </vt:variant>
      <vt:variant>
        <vt:i4>0</vt:i4>
      </vt:variant>
      <vt:variant>
        <vt:i4>5</vt:i4>
      </vt:variant>
      <vt:variant>
        <vt:lpwstr>https://www.linkedin.com/company/ctdeep</vt:lpwstr>
      </vt:variant>
      <vt:variant>
        <vt:lpwstr/>
      </vt:variant>
      <vt:variant>
        <vt:i4>4259917</vt:i4>
      </vt:variant>
      <vt:variant>
        <vt:i4>9</vt:i4>
      </vt:variant>
      <vt:variant>
        <vt:i4>0</vt:i4>
      </vt:variant>
      <vt:variant>
        <vt:i4>5</vt:i4>
      </vt:variant>
      <vt:variant>
        <vt:lpwstr>https://www.youtube.com/ctdeepvideos</vt:lpwstr>
      </vt:variant>
      <vt:variant>
        <vt:lpwstr/>
      </vt:variant>
      <vt:variant>
        <vt:i4>6291570</vt:i4>
      </vt:variant>
      <vt:variant>
        <vt:i4>6</vt:i4>
      </vt:variant>
      <vt:variant>
        <vt:i4>0</vt:i4>
      </vt:variant>
      <vt:variant>
        <vt:i4>5</vt:i4>
      </vt:variant>
      <vt:variant>
        <vt:lpwstr>https://www.instagram.com/ct.deep/</vt:lpwstr>
      </vt:variant>
      <vt:variant>
        <vt:lpwstr/>
      </vt:variant>
      <vt:variant>
        <vt:i4>7209006</vt:i4>
      </vt:variant>
      <vt:variant>
        <vt:i4>3</vt:i4>
      </vt:variant>
      <vt:variant>
        <vt:i4>0</vt:i4>
      </vt:variant>
      <vt:variant>
        <vt:i4>5</vt:i4>
      </vt:variant>
      <vt:variant>
        <vt:lpwstr>https://twitter.com/CTDEEPNews</vt:lpwstr>
      </vt:variant>
      <vt:variant>
        <vt:lpwstr/>
      </vt:variant>
      <vt:variant>
        <vt:i4>720967</vt:i4>
      </vt:variant>
      <vt:variant>
        <vt:i4>0</vt:i4>
      </vt:variant>
      <vt:variant>
        <vt:i4>0</vt:i4>
      </vt:variant>
      <vt:variant>
        <vt:i4>5</vt:i4>
      </vt:variant>
      <vt:variant>
        <vt:lpwstr>https://www.facebook.com/CTDEEP/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Joe</dc:creator>
  <cp:keywords/>
  <dc:description/>
  <cp:lastModifiedBy>Kiernan Wholean</cp:lastModifiedBy>
  <cp:revision>6</cp:revision>
  <cp:lastPrinted>2023-04-05T14:17:00Z</cp:lastPrinted>
  <dcterms:created xsi:type="dcterms:W3CDTF">2023-03-30T20:02:00Z</dcterms:created>
  <dcterms:modified xsi:type="dcterms:W3CDTF">2023-04-06T18:13:00Z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0x0101005C85CF2ACFC35842B7F6607C279E00D2</vt:lpwstr>
  </property>
</Properties>
</file>