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80" w:type="dxa"/>
        <w:tblLayout w:type="fixed"/>
        <w:tblLook w:val="0000" w:firstRow="0" w:lastRow="0" w:firstColumn="0" w:lastColumn="0" w:noHBand="0" w:noVBand="0"/>
      </w:tblPr>
      <w:tblGrid>
        <w:gridCol w:w="2260"/>
        <w:gridCol w:w="4807"/>
        <w:gridCol w:w="2385"/>
      </w:tblGrid>
      <w:tr w:rsidR="001F587C">
        <w:trPr>
          <w:cantSplit/>
          <w:trHeight w:hRule="exact" w:val="1320"/>
          <w:hidden/>
        </w:trPr>
        <w:tc>
          <w:tcPr>
            <w:tcW w:w="2260" w:type="dxa"/>
          </w:tcPr>
          <w:p w:rsidR="001F587C" w:rsidRDefault="00600D66">
            <w:bookmarkStart w:id="0" w:name="_GoBack"/>
            <w:bookmarkEnd w:id="0"/>
            <w:r>
              <w:rPr>
                <w:noProof/>
                <w:vanish/>
              </w:rPr>
              <w:drawing>
                <wp:inline distT="0" distB="0" distL="0" distR="0" wp14:anchorId="5D51FE05" wp14:editId="2D8AF576">
                  <wp:extent cx="1061085" cy="832485"/>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1085" cy="832485"/>
                          </a:xfrm>
                          <a:prstGeom prst="rect">
                            <a:avLst/>
                          </a:prstGeom>
                          <a:noFill/>
                          <a:ln>
                            <a:noFill/>
                          </a:ln>
                        </pic:spPr>
                      </pic:pic>
                    </a:graphicData>
                  </a:graphic>
                </wp:inline>
              </w:drawing>
            </w:r>
          </w:p>
        </w:tc>
        <w:tc>
          <w:tcPr>
            <w:tcW w:w="4807" w:type="dxa"/>
          </w:tcPr>
          <w:p w:rsidR="001F587C" w:rsidRDefault="001F587C">
            <w:pPr>
              <w:ind w:right="16"/>
              <w:jc w:val="right"/>
              <w:rPr>
                <w:b/>
                <w:sz w:val="32"/>
              </w:rPr>
            </w:pPr>
            <w:r>
              <w:rPr>
                <w:b/>
                <w:sz w:val="32"/>
              </w:rPr>
              <w:t>STATE OF CONNECTICUT</w:t>
            </w:r>
          </w:p>
        </w:tc>
        <w:tc>
          <w:tcPr>
            <w:tcW w:w="2385" w:type="dxa"/>
          </w:tcPr>
          <w:p w:rsidR="001F587C" w:rsidRDefault="001F587C">
            <w:pPr>
              <w:jc w:val="right"/>
              <w:rPr>
                <w:sz w:val="20"/>
              </w:rPr>
            </w:pPr>
          </w:p>
        </w:tc>
      </w:tr>
    </w:tbl>
    <w:p w:rsidR="001F587C" w:rsidRDefault="00867840">
      <w:pPr>
        <w:spacing w:line="240" w:lineRule="atLeast"/>
        <w:jc w:val="center"/>
        <w:rPr>
          <w:b/>
        </w:rPr>
      </w:pPr>
      <w:r>
        <w:rPr>
          <w:b/>
        </w:rPr>
        <w:t>PUBLIC UTILITIES REGULATORY AUTHORITY</w:t>
      </w:r>
    </w:p>
    <w:p w:rsidR="001F587C" w:rsidRDefault="001F587C">
      <w:pPr>
        <w:spacing w:line="240" w:lineRule="atLeast"/>
        <w:jc w:val="center"/>
        <w:rPr>
          <w:b/>
        </w:rPr>
      </w:pPr>
      <w:r>
        <w:rPr>
          <w:b/>
        </w:rPr>
        <w:t>TEN FRANKLIN SQUARE</w:t>
      </w:r>
    </w:p>
    <w:p w:rsidR="001F587C" w:rsidRDefault="001F587C">
      <w:pPr>
        <w:spacing w:line="240" w:lineRule="atLeast"/>
        <w:jc w:val="center"/>
        <w:rPr>
          <w:b/>
        </w:rPr>
      </w:pPr>
      <w:r>
        <w:rPr>
          <w:b/>
        </w:rPr>
        <w:t>NEW BRITAIN, CT 06051</w:t>
      </w:r>
    </w:p>
    <w:p w:rsidR="001F587C" w:rsidRDefault="001F587C">
      <w:pPr>
        <w:spacing w:line="240" w:lineRule="atLeast"/>
        <w:jc w:val="center"/>
        <w:rPr>
          <w:b/>
        </w:rPr>
      </w:pPr>
    </w:p>
    <w:p w:rsidR="001F587C" w:rsidRDefault="001F587C">
      <w:pPr>
        <w:spacing w:line="240" w:lineRule="atLeast"/>
        <w:jc w:val="center"/>
        <w:rPr>
          <w:b/>
        </w:rPr>
      </w:pPr>
    </w:p>
    <w:p w:rsidR="001F587C" w:rsidRDefault="001F587C">
      <w:pPr>
        <w:spacing w:line="240" w:lineRule="atLeast"/>
        <w:jc w:val="center"/>
        <w:rPr>
          <w:b/>
        </w:rPr>
      </w:pPr>
    </w:p>
    <w:tbl>
      <w:tblPr>
        <w:tblW w:w="0" w:type="auto"/>
        <w:tblLayout w:type="fixed"/>
        <w:tblLook w:val="0000" w:firstRow="0" w:lastRow="0" w:firstColumn="0" w:lastColumn="0" w:noHBand="0" w:noVBand="0"/>
      </w:tblPr>
      <w:tblGrid>
        <w:gridCol w:w="2825"/>
        <w:gridCol w:w="6698"/>
      </w:tblGrid>
      <w:tr w:rsidR="001F587C">
        <w:trPr>
          <w:cantSplit/>
        </w:trPr>
        <w:tc>
          <w:tcPr>
            <w:tcW w:w="2825" w:type="dxa"/>
          </w:tcPr>
          <w:p w:rsidR="001F587C" w:rsidRDefault="001F587C">
            <w:pPr>
              <w:spacing w:line="240" w:lineRule="atLeast"/>
              <w:rPr>
                <w:b/>
                <w:caps/>
              </w:rPr>
            </w:pPr>
            <w:r>
              <w:rPr>
                <w:b/>
                <w:caps/>
              </w:rPr>
              <w:t xml:space="preserve">Docket No. </w:t>
            </w:r>
            <w:r>
              <w:rPr>
                <w:b/>
                <w:caps/>
              </w:rPr>
              <w:fldChar w:fldCharType="begin"/>
            </w:r>
            <w:r>
              <w:rPr>
                <w:b/>
                <w:caps/>
              </w:rPr>
              <w:instrText>Ask Docknum "Enter the docket number of the case (</w:instrText>
            </w:r>
            <w:r>
              <w:rPr>
                <w:b/>
              </w:rPr>
              <w:instrText>i.e.,</w:instrText>
            </w:r>
            <w:r>
              <w:rPr>
                <w:b/>
                <w:caps/>
              </w:rPr>
              <w:instrText xml:space="preserve"> 92-11-11)"</w:instrText>
            </w:r>
            <w:r>
              <w:rPr>
                <w:b/>
                <w:caps/>
              </w:rPr>
              <w:fldChar w:fldCharType="separate"/>
            </w:r>
            <w:bookmarkStart w:id="1" w:name="Docknum"/>
            <w:r w:rsidR="00ED0B41">
              <w:rPr>
                <w:b/>
                <w:caps/>
              </w:rPr>
              <w:t>18-06-02</w:t>
            </w:r>
            <w:bookmarkEnd w:id="1"/>
            <w:r>
              <w:rPr>
                <w:b/>
                <w:caps/>
              </w:rPr>
              <w:fldChar w:fldCharType="end"/>
            </w:r>
            <w:r>
              <w:rPr>
                <w:b/>
                <w:caps/>
              </w:rPr>
              <w:fldChar w:fldCharType="begin"/>
            </w:r>
            <w:r>
              <w:rPr>
                <w:b/>
                <w:caps/>
              </w:rPr>
              <w:instrText>ref docknum</w:instrText>
            </w:r>
            <w:r>
              <w:rPr>
                <w:b/>
                <w:caps/>
              </w:rPr>
              <w:fldChar w:fldCharType="separate"/>
            </w:r>
            <w:r w:rsidR="00147B63">
              <w:rPr>
                <w:b/>
                <w:caps/>
              </w:rPr>
              <w:t>18-06-02</w:t>
            </w:r>
            <w:r>
              <w:rPr>
                <w:b/>
                <w:caps/>
              </w:rPr>
              <w:fldChar w:fldCharType="end"/>
            </w:r>
          </w:p>
        </w:tc>
        <w:tc>
          <w:tcPr>
            <w:tcW w:w="6698" w:type="dxa"/>
          </w:tcPr>
          <w:p w:rsidR="001F587C" w:rsidRDefault="001F587C">
            <w:pPr>
              <w:spacing w:line="240" w:lineRule="atLeast"/>
              <w:rPr>
                <w:b/>
                <w:caps/>
              </w:rPr>
            </w:pPr>
            <w:r>
              <w:rPr>
                <w:b/>
                <w:caps/>
              </w:rPr>
              <w:fldChar w:fldCharType="begin"/>
            </w:r>
            <w:r>
              <w:rPr>
                <w:b/>
                <w:caps/>
              </w:rPr>
              <w:instrText>Ask title "Enter the complete title</w:instrText>
            </w:r>
            <w:r>
              <w:rPr>
                <w:b/>
                <w:caps/>
              </w:rPr>
              <w:fldChar w:fldCharType="separate"/>
            </w:r>
            <w:bookmarkStart w:id="2" w:name="title"/>
            <w:r w:rsidR="00ED0B41">
              <w:rPr>
                <w:b/>
                <w:caps/>
              </w:rPr>
              <w:t>Review of Feasibility, Costs and Benefits of Placing Certain Customers on Standard Service Pursuant to Conn. Gen. Stat. § 16-245o(m)</w:t>
            </w:r>
            <w:bookmarkEnd w:id="2"/>
            <w:r>
              <w:rPr>
                <w:b/>
                <w:caps/>
              </w:rPr>
              <w:fldChar w:fldCharType="end"/>
            </w:r>
            <w:r>
              <w:rPr>
                <w:b/>
                <w:caps/>
              </w:rPr>
              <w:fldChar w:fldCharType="begin"/>
            </w:r>
            <w:r>
              <w:rPr>
                <w:b/>
                <w:caps/>
              </w:rPr>
              <w:instrText>ref title</w:instrText>
            </w:r>
            <w:r>
              <w:rPr>
                <w:b/>
                <w:caps/>
              </w:rPr>
              <w:fldChar w:fldCharType="separate"/>
            </w:r>
            <w:r w:rsidR="00147B63">
              <w:rPr>
                <w:b/>
                <w:caps/>
              </w:rPr>
              <w:t>Review of Feasibility, Costs and Benefits of Placing Certain Customers on Standard Service Pursuant to Conn. Gen. Stat. § 16-245o(m)</w:t>
            </w:r>
            <w:r>
              <w:rPr>
                <w:b/>
                <w:caps/>
              </w:rPr>
              <w:fldChar w:fldCharType="end"/>
            </w:r>
          </w:p>
        </w:tc>
      </w:tr>
    </w:tbl>
    <w:p w:rsidR="001F587C" w:rsidRDefault="001F587C">
      <w:pPr>
        <w:spacing w:line="240" w:lineRule="atLeast"/>
      </w:pPr>
    </w:p>
    <w:p w:rsidR="001F587C" w:rsidRDefault="001F587C">
      <w:pPr>
        <w:spacing w:line="240" w:lineRule="atLeast"/>
      </w:pPr>
    </w:p>
    <w:p w:rsidR="001F587C" w:rsidRDefault="001F587C">
      <w:pPr>
        <w:spacing w:line="240" w:lineRule="atLeast"/>
      </w:pPr>
    </w:p>
    <w:p w:rsidR="001F587C" w:rsidRDefault="001F587C">
      <w:pPr>
        <w:spacing w:line="240" w:lineRule="atLeast"/>
        <w:jc w:val="center"/>
      </w:pPr>
    </w:p>
    <w:p w:rsidR="001F587C" w:rsidRDefault="00831060">
      <w:pPr>
        <w:spacing w:line="240" w:lineRule="atLeast"/>
        <w:jc w:val="center"/>
      </w:pPr>
      <w:r>
        <w:fldChar w:fldCharType="begin"/>
      </w:r>
      <w:r>
        <w:instrText xml:space="preserve"> FILLIN  "Enter the distribution date of the draft.  If exact date unknown, enter expected month and year.  i.e., July     , 2015" \d "July 1, 2015" </w:instrText>
      </w:r>
      <w:r>
        <w:fldChar w:fldCharType="separate"/>
      </w:r>
      <w:r w:rsidR="00E06CFA">
        <w:t>December 2, 2019</w:t>
      </w:r>
      <w:r>
        <w:fldChar w:fldCharType="end"/>
      </w:r>
    </w:p>
    <w:p w:rsidR="001F587C" w:rsidRDefault="001F587C">
      <w:pPr>
        <w:spacing w:line="240" w:lineRule="atLeast"/>
        <w:jc w:val="center"/>
      </w:pPr>
    </w:p>
    <w:p w:rsidR="001F587C" w:rsidRDefault="001F587C">
      <w:pPr>
        <w:spacing w:line="240" w:lineRule="atLeast"/>
        <w:jc w:val="center"/>
      </w:pPr>
      <w:r>
        <w:t xml:space="preserve">By the following </w:t>
      </w:r>
      <w:r w:rsidR="00601882">
        <w:t>Commissioners</w:t>
      </w:r>
      <w:r>
        <w:t>:</w:t>
      </w:r>
    </w:p>
    <w:p w:rsidR="001F587C" w:rsidRDefault="001F587C">
      <w:pPr>
        <w:spacing w:line="240" w:lineRule="atLeast"/>
        <w:jc w:val="center"/>
      </w:pPr>
    </w:p>
    <w:p w:rsidR="001F587C" w:rsidRDefault="001F587C">
      <w:pPr>
        <w:spacing w:line="240" w:lineRule="atLeast"/>
        <w:jc w:val="center"/>
      </w:pPr>
    </w:p>
    <w:tbl>
      <w:tblPr>
        <w:tblW w:w="6152" w:type="dxa"/>
        <w:tblInd w:w="3682" w:type="dxa"/>
        <w:tblLayout w:type="fixed"/>
        <w:tblLook w:val="0000" w:firstRow="0" w:lastRow="0" w:firstColumn="0" w:lastColumn="0" w:noHBand="0" w:noVBand="0"/>
      </w:tblPr>
      <w:tblGrid>
        <w:gridCol w:w="6152"/>
      </w:tblGrid>
      <w:tr w:rsidR="001F587C" w:rsidTr="001056D2">
        <w:trPr>
          <w:cantSplit/>
        </w:trPr>
        <w:tc>
          <w:tcPr>
            <w:tcW w:w="6152" w:type="dxa"/>
          </w:tcPr>
          <w:p w:rsidR="001F587C" w:rsidRDefault="001F587C">
            <w:pPr>
              <w:spacing w:line="240" w:lineRule="atLeast"/>
            </w:pPr>
            <w:bookmarkStart w:id="3" w:name="comm1"/>
            <w:bookmarkEnd w:id="3"/>
          </w:p>
        </w:tc>
      </w:tr>
      <w:tr w:rsidR="001F587C" w:rsidTr="001056D2">
        <w:trPr>
          <w:cantSplit/>
        </w:trPr>
        <w:tc>
          <w:tcPr>
            <w:tcW w:w="6152" w:type="dxa"/>
          </w:tcPr>
          <w:p w:rsidR="001F587C" w:rsidRDefault="001F587C">
            <w:pPr>
              <w:spacing w:line="240" w:lineRule="atLeast"/>
            </w:pPr>
            <w:bookmarkStart w:id="4" w:name="comm2"/>
            <w:bookmarkEnd w:id="4"/>
          </w:p>
        </w:tc>
      </w:tr>
      <w:tr w:rsidR="001F587C" w:rsidTr="001056D2">
        <w:trPr>
          <w:cantSplit/>
        </w:trPr>
        <w:tc>
          <w:tcPr>
            <w:tcW w:w="6152" w:type="dxa"/>
          </w:tcPr>
          <w:p w:rsidR="001F587C" w:rsidRDefault="00ED0B41">
            <w:pPr>
              <w:spacing w:line="240" w:lineRule="atLeast"/>
            </w:pPr>
            <w:bookmarkStart w:id="5" w:name="comm3"/>
            <w:bookmarkEnd w:id="5"/>
            <w:r>
              <w:t xml:space="preserve">Marissa P. Gillett </w:t>
            </w:r>
          </w:p>
        </w:tc>
      </w:tr>
      <w:tr w:rsidR="001F587C" w:rsidTr="001056D2">
        <w:trPr>
          <w:cantSplit/>
        </w:trPr>
        <w:tc>
          <w:tcPr>
            <w:tcW w:w="6152" w:type="dxa"/>
          </w:tcPr>
          <w:p w:rsidR="00CB6625" w:rsidRDefault="00CB6625">
            <w:pPr>
              <w:spacing w:line="240" w:lineRule="atLeast"/>
            </w:pPr>
            <w:bookmarkStart w:id="6" w:name="comm4"/>
            <w:bookmarkStart w:id="7" w:name="four"/>
            <w:bookmarkEnd w:id="6"/>
            <w:bookmarkEnd w:id="7"/>
            <w:r>
              <w:t xml:space="preserve">John W. Betkoski, III </w:t>
            </w:r>
          </w:p>
          <w:p w:rsidR="001F587C" w:rsidRDefault="00CB6625">
            <w:pPr>
              <w:spacing w:line="240" w:lineRule="atLeast"/>
            </w:pPr>
            <w:r>
              <w:t>Michael A. Caron</w:t>
            </w:r>
          </w:p>
        </w:tc>
      </w:tr>
      <w:tr w:rsidR="001F587C" w:rsidTr="001056D2">
        <w:trPr>
          <w:cantSplit/>
        </w:trPr>
        <w:tc>
          <w:tcPr>
            <w:tcW w:w="6152" w:type="dxa"/>
          </w:tcPr>
          <w:p w:rsidR="001F587C" w:rsidRDefault="001F587C">
            <w:pPr>
              <w:spacing w:line="240" w:lineRule="atLeast"/>
            </w:pPr>
            <w:bookmarkStart w:id="8" w:name="comm5"/>
            <w:bookmarkEnd w:id="8"/>
          </w:p>
        </w:tc>
      </w:tr>
      <w:tr w:rsidR="00B21ECD" w:rsidTr="001056D2">
        <w:trPr>
          <w:cantSplit/>
        </w:trPr>
        <w:tc>
          <w:tcPr>
            <w:tcW w:w="6152" w:type="dxa"/>
          </w:tcPr>
          <w:p w:rsidR="00B21ECD" w:rsidRDefault="00731C71" w:rsidP="00931035">
            <w:pPr>
              <w:spacing w:line="240" w:lineRule="atLeast"/>
            </w:pPr>
            <w:r>
              <w:t>Lead S</w:t>
            </w:r>
            <w:r w:rsidR="00B21ECD">
              <w:t xml:space="preserve">taff: </w:t>
            </w:r>
            <w:bookmarkStart w:id="9" w:name="LeadStaff"/>
            <w:bookmarkEnd w:id="9"/>
            <w:r w:rsidR="00931035">
              <w:fldChar w:fldCharType="begin"/>
            </w:r>
            <w:r w:rsidR="00931035">
              <w:instrText xml:space="preserve"> REF  LeadStaff  \* MERGEFORMAT </w:instrText>
            </w:r>
            <w:r w:rsidR="00931035">
              <w:fldChar w:fldCharType="end"/>
            </w:r>
            <w:r w:rsidR="00931035">
              <w:t xml:space="preserve">F. Augeri, Jr. </w:t>
            </w:r>
          </w:p>
        </w:tc>
      </w:tr>
    </w:tbl>
    <w:p w:rsidR="001F587C" w:rsidRDefault="001F587C">
      <w:pPr>
        <w:spacing w:line="240" w:lineRule="atLeast"/>
        <w:jc w:val="center"/>
      </w:pPr>
      <w:bookmarkStart w:id="10" w:name="five"/>
      <w:bookmarkEnd w:id="10"/>
    </w:p>
    <w:p w:rsidR="003F11C0" w:rsidRDefault="003F11C0">
      <w:pPr>
        <w:spacing w:line="240" w:lineRule="atLeast"/>
        <w:jc w:val="center"/>
      </w:pPr>
    </w:p>
    <w:p w:rsidR="003F11C0" w:rsidRDefault="003F11C0">
      <w:pPr>
        <w:spacing w:line="240" w:lineRule="atLeast"/>
        <w:jc w:val="center"/>
      </w:pPr>
    </w:p>
    <w:p w:rsidR="008056B1" w:rsidRDefault="008056B1" w:rsidP="008056B1">
      <w:pPr>
        <w:spacing w:line="240" w:lineRule="atLeast"/>
        <w:jc w:val="center"/>
        <w:rPr>
          <w:b/>
          <w:sz w:val="26"/>
          <w:u w:val="single"/>
        </w:rPr>
      </w:pPr>
      <w:r>
        <w:rPr>
          <w:b/>
          <w:sz w:val="26"/>
          <w:u w:val="double"/>
        </w:rPr>
        <w:t xml:space="preserve">PROPOSED FINAL </w:t>
      </w:r>
      <w:r>
        <w:rPr>
          <w:b/>
          <w:sz w:val="26"/>
          <w:u w:val="single"/>
        </w:rPr>
        <w:t>DECISION</w:t>
      </w:r>
    </w:p>
    <w:p w:rsidR="008056B1" w:rsidRDefault="008056B1" w:rsidP="008056B1">
      <w:pPr>
        <w:spacing w:line="240" w:lineRule="atLeast"/>
        <w:rPr>
          <w:b/>
          <w:sz w:val="20"/>
        </w:rPr>
      </w:pPr>
    </w:p>
    <w:p w:rsidR="008056B1" w:rsidRDefault="008056B1" w:rsidP="008056B1">
      <w:pPr>
        <w:spacing w:line="240" w:lineRule="atLeast"/>
        <w:rPr>
          <w:sz w:val="20"/>
        </w:rPr>
      </w:pPr>
      <w:r>
        <w:rPr>
          <w:sz w:val="20"/>
        </w:rPr>
        <w:t>This proposed final Decision is being distributed to the parties in this proceeding for comment.  The proposed Decision is not final.  The Authority will consider the parties’ arguments and exceptions before reaching a final Decision, which may differ from the proposed Decision.  Therefore, this proposed Decision does not establish any precedent and does not necessarily represent the Authority’s final conclusion.</w:t>
      </w:r>
    </w:p>
    <w:p w:rsidR="001F587C" w:rsidRDefault="001F587C">
      <w:pPr>
        <w:spacing w:line="240" w:lineRule="atLeast"/>
      </w:pPr>
    </w:p>
    <w:p w:rsidR="001F587C" w:rsidRDefault="001F587C">
      <w:pPr>
        <w:spacing w:line="240" w:lineRule="atLeast"/>
        <w:sectPr w:rsidR="001F587C" w:rsidSect="004B10F5">
          <w:headerReference w:type="default" r:id="rId10"/>
          <w:footerReference w:type="default" r:id="rId11"/>
          <w:footerReference w:type="first" r:id="rId12"/>
          <w:pgSz w:w="12240" w:h="15840" w:code="1"/>
          <w:pgMar w:top="1152" w:right="1440" w:bottom="1152" w:left="1440" w:header="432" w:footer="288" w:gutter="0"/>
          <w:paperSrc w:first="3" w:other="3"/>
          <w:cols w:space="720"/>
          <w:titlePg/>
          <w:docGrid w:linePitch="326"/>
        </w:sectPr>
      </w:pPr>
      <w:bookmarkStart w:id="11" w:name="pend"/>
      <w:bookmarkEnd w:id="11"/>
    </w:p>
    <w:bookmarkStart w:id="12" w:name="StartPage" w:displacedByCustomXml="next"/>
    <w:bookmarkEnd w:id="12" w:displacedByCustomXml="next"/>
    <w:bookmarkStart w:id="13" w:name="begindoc" w:displacedByCustomXml="next"/>
    <w:bookmarkEnd w:id="13" w:displacedByCustomXml="next"/>
    <w:sdt>
      <w:sdtPr>
        <w:rPr>
          <w:rFonts w:ascii="Arial" w:eastAsia="Times New Roman" w:hAnsi="Arial" w:cs="Times New Roman"/>
          <w:b w:val="0"/>
          <w:bCs w:val="0"/>
          <w:color w:val="auto"/>
          <w:sz w:val="24"/>
          <w:szCs w:val="20"/>
        </w:rPr>
        <w:id w:val="2134742257"/>
        <w:docPartObj>
          <w:docPartGallery w:val="Table of Contents"/>
          <w:docPartUnique/>
        </w:docPartObj>
      </w:sdtPr>
      <w:sdtEndPr>
        <w:rPr>
          <w:noProof/>
        </w:rPr>
      </w:sdtEndPr>
      <w:sdtContent>
        <w:p w:rsidR="001A4E0D" w:rsidRPr="00F66BCC" w:rsidRDefault="001A4E0D" w:rsidP="001A4E0D">
          <w:pPr>
            <w:pStyle w:val="TOCHeading"/>
            <w:spacing w:before="0"/>
            <w:jc w:val="center"/>
            <w:rPr>
              <w:rFonts w:ascii="Arial" w:hAnsi="Arial" w:cs="Arial"/>
              <w:color w:val="auto"/>
              <w:sz w:val="24"/>
              <w:szCs w:val="24"/>
            </w:rPr>
          </w:pPr>
          <w:r w:rsidRPr="00F66BCC">
            <w:rPr>
              <w:rFonts w:ascii="Arial" w:hAnsi="Arial" w:cs="Arial"/>
              <w:color w:val="auto"/>
              <w:sz w:val="24"/>
              <w:szCs w:val="24"/>
            </w:rPr>
            <w:t>TABLE OF CONTENTS</w:t>
          </w:r>
        </w:p>
        <w:p w:rsidR="001A4E0D" w:rsidRPr="00F66BCC" w:rsidRDefault="001A4E0D" w:rsidP="001A4E0D">
          <w:pPr>
            <w:rPr>
              <w:lang w:eastAsia="ja-JP"/>
            </w:rPr>
          </w:pPr>
        </w:p>
        <w:p w:rsidR="00321B5E" w:rsidRDefault="001A4E0D">
          <w:pPr>
            <w:pStyle w:val="TOC1"/>
            <w:rPr>
              <w:rFonts w:asciiTheme="minorHAnsi" w:eastAsiaTheme="minorEastAsia" w:hAnsiTheme="minorHAnsi" w:cstheme="minorBidi"/>
              <w:b w:val="0"/>
              <w:caps w:val="0"/>
              <w:noProof/>
              <w:sz w:val="22"/>
              <w:szCs w:val="22"/>
            </w:rPr>
          </w:pPr>
          <w:r>
            <w:fldChar w:fldCharType="begin"/>
          </w:r>
          <w:r>
            <w:instrText xml:space="preserve"> TOC \o "1-3" \h \z \u </w:instrText>
          </w:r>
          <w:r>
            <w:fldChar w:fldCharType="separate"/>
          </w:r>
          <w:hyperlink w:anchor="_Toc26174982" w:history="1">
            <w:r w:rsidR="00321B5E" w:rsidRPr="00830C7E">
              <w:rPr>
                <w:rStyle w:val="Hyperlink"/>
                <w:noProof/>
              </w:rPr>
              <w:t>I.</w:t>
            </w:r>
            <w:r w:rsidR="00321B5E">
              <w:rPr>
                <w:rFonts w:asciiTheme="minorHAnsi" w:eastAsiaTheme="minorEastAsia" w:hAnsiTheme="minorHAnsi" w:cstheme="minorBidi"/>
                <w:b w:val="0"/>
                <w:caps w:val="0"/>
                <w:noProof/>
                <w:sz w:val="22"/>
                <w:szCs w:val="22"/>
              </w:rPr>
              <w:tab/>
            </w:r>
            <w:r w:rsidR="00321B5E" w:rsidRPr="00830C7E">
              <w:rPr>
                <w:rStyle w:val="Hyperlink"/>
                <w:noProof/>
              </w:rPr>
              <w:t>INTRODUCTION</w:t>
            </w:r>
            <w:r w:rsidR="00321B5E">
              <w:rPr>
                <w:noProof/>
                <w:webHidden/>
              </w:rPr>
              <w:tab/>
            </w:r>
            <w:r w:rsidR="00321B5E">
              <w:rPr>
                <w:noProof/>
                <w:webHidden/>
              </w:rPr>
              <w:fldChar w:fldCharType="begin"/>
            </w:r>
            <w:r w:rsidR="00321B5E">
              <w:rPr>
                <w:noProof/>
                <w:webHidden/>
              </w:rPr>
              <w:instrText xml:space="preserve"> PAGEREF _Toc26174982 \h </w:instrText>
            </w:r>
            <w:r w:rsidR="00321B5E">
              <w:rPr>
                <w:noProof/>
                <w:webHidden/>
              </w:rPr>
            </w:r>
            <w:r w:rsidR="00321B5E">
              <w:rPr>
                <w:noProof/>
                <w:webHidden/>
              </w:rPr>
              <w:fldChar w:fldCharType="separate"/>
            </w:r>
            <w:r w:rsidR="00321B5E">
              <w:rPr>
                <w:noProof/>
                <w:webHidden/>
              </w:rPr>
              <w:t>1</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4983" w:history="1">
            <w:r w:rsidR="00321B5E" w:rsidRPr="00830C7E">
              <w:rPr>
                <w:rStyle w:val="Hyperlink"/>
                <w:noProof/>
              </w:rPr>
              <w:t>A.</w:t>
            </w:r>
            <w:r w:rsidR="00321B5E">
              <w:rPr>
                <w:rFonts w:asciiTheme="minorHAnsi" w:eastAsiaTheme="minorEastAsia" w:hAnsiTheme="minorHAnsi" w:cstheme="minorBidi"/>
                <w:b w:val="0"/>
                <w:smallCaps w:val="0"/>
                <w:noProof/>
                <w:sz w:val="22"/>
                <w:szCs w:val="22"/>
              </w:rPr>
              <w:tab/>
            </w:r>
            <w:r w:rsidR="00321B5E" w:rsidRPr="00830C7E">
              <w:rPr>
                <w:rStyle w:val="Hyperlink"/>
                <w:noProof/>
              </w:rPr>
              <w:t>Summary</w:t>
            </w:r>
            <w:r w:rsidR="00321B5E">
              <w:rPr>
                <w:noProof/>
                <w:webHidden/>
              </w:rPr>
              <w:tab/>
            </w:r>
            <w:r w:rsidR="00321B5E">
              <w:rPr>
                <w:noProof/>
                <w:webHidden/>
              </w:rPr>
              <w:fldChar w:fldCharType="begin"/>
            </w:r>
            <w:r w:rsidR="00321B5E">
              <w:rPr>
                <w:noProof/>
                <w:webHidden/>
              </w:rPr>
              <w:instrText xml:space="preserve"> PAGEREF _Toc26174983 \h </w:instrText>
            </w:r>
            <w:r w:rsidR="00321B5E">
              <w:rPr>
                <w:noProof/>
                <w:webHidden/>
              </w:rPr>
            </w:r>
            <w:r w:rsidR="00321B5E">
              <w:rPr>
                <w:noProof/>
                <w:webHidden/>
              </w:rPr>
              <w:fldChar w:fldCharType="separate"/>
            </w:r>
            <w:r w:rsidR="00321B5E">
              <w:rPr>
                <w:noProof/>
                <w:webHidden/>
              </w:rPr>
              <w:t>1</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4984" w:history="1">
            <w:r w:rsidR="00321B5E" w:rsidRPr="00830C7E">
              <w:rPr>
                <w:rStyle w:val="Hyperlink"/>
                <w:noProof/>
              </w:rPr>
              <w:t>B.</w:t>
            </w:r>
            <w:r w:rsidR="00321B5E">
              <w:rPr>
                <w:rFonts w:asciiTheme="minorHAnsi" w:eastAsiaTheme="minorEastAsia" w:hAnsiTheme="minorHAnsi" w:cstheme="minorBidi"/>
                <w:b w:val="0"/>
                <w:smallCaps w:val="0"/>
                <w:noProof/>
                <w:sz w:val="22"/>
                <w:szCs w:val="22"/>
              </w:rPr>
              <w:tab/>
            </w:r>
            <w:r w:rsidR="00321B5E" w:rsidRPr="00830C7E">
              <w:rPr>
                <w:rStyle w:val="Hyperlink"/>
                <w:noProof/>
              </w:rPr>
              <w:t>Background of the Proceeding</w:t>
            </w:r>
            <w:r w:rsidR="00321B5E">
              <w:rPr>
                <w:noProof/>
                <w:webHidden/>
              </w:rPr>
              <w:tab/>
            </w:r>
            <w:r w:rsidR="00321B5E">
              <w:rPr>
                <w:noProof/>
                <w:webHidden/>
              </w:rPr>
              <w:fldChar w:fldCharType="begin"/>
            </w:r>
            <w:r w:rsidR="00321B5E">
              <w:rPr>
                <w:noProof/>
                <w:webHidden/>
              </w:rPr>
              <w:instrText xml:space="preserve"> PAGEREF _Toc26174984 \h </w:instrText>
            </w:r>
            <w:r w:rsidR="00321B5E">
              <w:rPr>
                <w:noProof/>
                <w:webHidden/>
              </w:rPr>
            </w:r>
            <w:r w:rsidR="00321B5E">
              <w:rPr>
                <w:noProof/>
                <w:webHidden/>
              </w:rPr>
              <w:fldChar w:fldCharType="separate"/>
            </w:r>
            <w:r w:rsidR="00321B5E">
              <w:rPr>
                <w:noProof/>
                <w:webHidden/>
              </w:rPr>
              <w:t>1</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4985" w:history="1">
            <w:r w:rsidR="00321B5E" w:rsidRPr="00830C7E">
              <w:rPr>
                <w:rStyle w:val="Hyperlink"/>
                <w:noProof/>
              </w:rPr>
              <w:t>C.</w:t>
            </w:r>
            <w:r w:rsidR="00321B5E">
              <w:rPr>
                <w:rFonts w:asciiTheme="minorHAnsi" w:eastAsiaTheme="minorEastAsia" w:hAnsiTheme="minorHAnsi" w:cstheme="minorBidi"/>
                <w:b w:val="0"/>
                <w:smallCaps w:val="0"/>
                <w:noProof/>
                <w:sz w:val="22"/>
                <w:szCs w:val="22"/>
              </w:rPr>
              <w:tab/>
            </w:r>
            <w:r w:rsidR="00321B5E" w:rsidRPr="00830C7E">
              <w:rPr>
                <w:rStyle w:val="Hyperlink"/>
                <w:noProof/>
              </w:rPr>
              <w:t>Conduct of the Proceeding</w:t>
            </w:r>
            <w:r w:rsidR="00321B5E">
              <w:rPr>
                <w:noProof/>
                <w:webHidden/>
              </w:rPr>
              <w:tab/>
            </w:r>
            <w:r w:rsidR="00321B5E">
              <w:rPr>
                <w:noProof/>
                <w:webHidden/>
              </w:rPr>
              <w:fldChar w:fldCharType="begin"/>
            </w:r>
            <w:r w:rsidR="00321B5E">
              <w:rPr>
                <w:noProof/>
                <w:webHidden/>
              </w:rPr>
              <w:instrText xml:space="preserve"> PAGEREF _Toc26174985 \h </w:instrText>
            </w:r>
            <w:r w:rsidR="00321B5E">
              <w:rPr>
                <w:noProof/>
                <w:webHidden/>
              </w:rPr>
            </w:r>
            <w:r w:rsidR="00321B5E">
              <w:rPr>
                <w:noProof/>
                <w:webHidden/>
              </w:rPr>
              <w:fldChar w:fldCharType="separate"/>
            </w:r>
            <w:r w:rsidR="00321B5E">
              <w:rPr>
                <w:noProof/>
                <w:webHidden/>
              </w:rPr>
              <w:t>1</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4986" w:history="1">
            <w:r w:rsidR="00321B5E" w:rsidRPr="00830C7E">
              <w:rPr>
                <w:rStyle w:val="Hyperlink"/>
                <w:noProof/>
              </w:rPr>
              <w:t>D.</w:t>
            </w:r>
            <w:r w:rsidR="00321B5E">
              <w:rPr>
                <w:rFonts w:asciiTheme="minorHAnsi" w:eastAsiaTheme="minorEastAsia" w:hAnsiTheme="minorHAnsi" w:cstheme="minorBidi"/>
                <w:b w:val="0"/>
                <w:smallCaps w:val="0"/>
                <w:noProof/>
                <w:sz w:val="22"/>
                <w:szCs w:val="22"/>
              </w:rPr>
              <w:tab/>
            </w:r>
            <w:r w:rsidR="00321B5E" w:rsidRPr="00830C7E">
              <w:rPr>
                <w:rStyle w:val="Hyperlink"/>
                <w:noProof/>
              </w:rPr>
              <w:t>Participants</w:t>
            </w:r>
            <w:r w:rsidR="00321B5E">
              <w:rPr>
                <w:noProof/>
                <w:webHidden/>
              </w:rPr>
              <w:tab/>
            </w:r>
            <w:r w:rsidR="00321B5E">
              <w:rPr>
                <w:noProof/>
                <w:webHidden/>
              </w:rPr>
              <w:fldChar w:fldCharType="begin"/>
            </w:r>
            <w:r w:rsidR="00321B5E">
              <w:rPr>
                <w:noProof/>
                <w:webHidden/>
              </w:rPr>
              <w:instrText xml:space="preserve"> PAGEREF _Toc26174986 \h </w:instrText>
            </w:r>
            <w:r w:rsidR="00321B5E">
              <w:rPr>
                <w:noProof/>
                <w:webHidden/>
              </w:rPr>
            </w:r>
            <w:r w:rsidR="00321B5E">
              <w:rPr>
                <w:noProof/>
                <w:webHidden/>
              </w:rPr>
              <w:fldChar w:fldCharType="separate"/>
            </w:r>
            <w:r w:rsidR="00321B5E">
              <w:rPr>
                <w:noProof/>
                <w:webHidden/>
              </w:rPr>
              <w:t>2</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4987" w:history="1">
            <w:r w:rsidR="00321B5E" w:rsidRPr="00830C7E">
              <w:rPr>
                <w:rStyle w:val="Hyperlink"/>
                <w:noProof/>
              </w:rPr>
              <w:t>E.</w:t>
            </w:r>
            <w:r w:rsidR="00321B5E">
              <w:rPr>
                <w:rFonts w:asciiTheme="minorHAnsi" w:eastAsiaTheme="minorEastAsia" w:hAnsiTheme="minorHAnsi" w:cstheme="minorBidi"/>
                <w:b w:val="0"/>
                <w:smallCaps w:val="0"/>
                <w:noProof/>
                <w:sz w:val="22"/>
                <w:szCs w:val="22"/>
              </w:rPr>
              <w:tab/>
            </w:r>
            <w:r w:rsidR="00321B5E" w:rsidRPr="00830C7E">
              <w:rPr>
                <w:rStyle w:val="Hyperlink"/>
                <w:noProof/>
              </w:rPr>
              <w:t>Public Comment</w:t>
            </w:r>
            <w:r w:rsidR="00321B5E">
              <w:rPr>
                <w:noProof/>
                <w:webHidden/>
              </w:rPr>
              <w:tab/>
            </w:r>
            <w:r w:rsidR="00321B5E">
              <w:rPr>
                <w:noProof/>
                <w:webHidden/>
              </w:rPr>
              <w:fldChar w:fldCharType="begin"/>
            </w:r>
            <w:r w:rsidR="00321B5E">
              <w:rPr>
                <w:noProof/>
                <w:webHidden/>
              </w:rPr>
              <w:instrText xml:space="preserve"> PAGEREF _Toc26174987 \h </w:instrText>
            </w:r>
            <w:r w:rsidR="00321B5E">
              <w:rPr>
                <w:noProof/>
                <w:webHidden/>
              </w:rPr>
            </w:r>
            <w:r w:rsidR="00321B5E">
              <w:rPr>
                <w:noProof/>
                <w:webHidden/>
              </w:rPr>
              <w:fldChar w:fldCharType="separate"/>
            </w:r>
            <w:r w:rsidR="00321B5E">
              <w:rPr>
                <w:noProof/>
                <w:webHidden/>
              </w:rPr>
              <w:t>2</w:t>
            </w:r>
            <w:r w:rsidR="00321B5E">
              <w:rPr>
                <w:noProof/>
                <w:webHidden/>
              </w:rPr>
              <w:fldChar w:fldCharType="end"/>
            </w:r>
          </w:hyperlink>
        </w:p>
        <w:p w:rsidR="00321B5E" w:rsidRDefault="00831060">
          <w:pPr>
            <w:pStyle w:val="TOC1"/>
            <w:rPr>
              <w:rFonts w:asciiTheme="minorHAnsi" w:eastAsiaTheme="minorEastAsia" w:hAnsiTheme="minorHAnsi" w:cstheme="minorBidi"/>
              <w:b w:val="0"/>
              <w:caps w:val="0"/>
              <w:noProof/>
              <w:sz w:val="22"/>
              <w:szCs w:val="22"/>
            </w:rPr>
          </w:pPr>
          <w:hyperlink w:anchor="_Toc26174988" w:history="1">
            <w:r w:rsidR="00321B5E" w:rsidRPr="00830C7E">
              <w:rPr>
                <w:rStyle w:val="Hyperlink"/>
                <w:noProof/>
              </w:rPr>
              <w:t>II.</w:t>
            </w:r>
            <w:r w:rsidR="00321B5E">
              <w:rPr>
                <w:rFonts w:asciiTheme="minorHAnsi" w:eastAsiaTheme="minorEastAsia" w:hAnsiTheme="minorHAnsi" w:cstheme="minorBidi"/>
                <w:b w:val="0"/>
                <w:caps w:val="0"/>
                <w:noProof/>
                <w:sz w:val="22"/>
                <w:szCs w:val="22"/>
              </w:rPr>
              <w:tab/>
            </w:r>
            <w:r w:rsidR="00321B5E" w:rsidRPr="00830C7E">
              <w:rPr>
                <w:rStyle w:val="Hyperlink"/>
                <w:noProof/>
              </w:rPr>
              <w:t>Positions of Parties</w:t>
            </w:r>
            <w:r w:rsidR="00321B5E">
              <w:rPr>
                <w:noProof/>
                <w:webHidden/>
              </w:rPr>
              <w:tab/>
            </w:r>
            <w:r w:rsidR="00321B5E">
              <w:rPr>
                <w:noProof/>
                <w:webHidden/>
              </w:rPr>
              <w:fldChar w:fldCharType="begin"/>
            </w:r>
            <w:r w:rsidR="00321B5E">
              <w:rPr>
                <w:noProof/>
                <w:webHidden/>
              </w:rPr>
              <w:instrText xml:space="preserve"> PAGEREF _Toc26174988 \h </w:instrText>
            </w:r>
            <w:r w:rsidR="00321B5E">
              <w:rPr>
                <w:noProof/>
                <w:webHidden/>
              </w:rPr>
            </w:r>
            <w:r w:rsidR="00321B5E">
              <w:rPr>
                <w:noProof/>
                <w:webHidden/>
              </w:rPr>
              <w:fldChar w:fldCharType="separate"/>
            </w:r>
            <w:r w:rsidR="00321B5E">
              <w:rPr>
                <w:noProof/>
                <w:webHidden/>
              </w:rPr>
              <w:t>2</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4989" w:history="1">
            <w:r w:rsidR="00321B5E" w:rsidRPr="00830C7E">
              <w:rPr>
                <w:rStyle w:val="Hyperlink"/>
                <w:noProof/>
              </w:rPr>
              <w:t>A.</w:t>
            </w:r>
            <w:r w:rsidR="00321B5E">
              <w:rPr>
                <w:rFonts w:asciiTheme="minorHAnsi" w:eastAsiaTheme="minorEastAsia" w:hAnsiTheme="minorHAnsi" w:cstheme="minorBidi"/>
                <w:b w:val="0"/>
                <w:smallCaps w:val="0"/>
                <w:noProof/>
                <w:sz w:val="22"/>
                <w:szCs w:val="22"/>
              </w:rPr>
              <w:tab/>
            </w:r>
            <w:r w:rsidR="00321B5E" w:rsidRPr="00830C7E">
              <w:rPr>
                <w:rStyle w:val="Hyperlink"/>
                <w:noProof/>
              </w:rPr>
              <w:t>OCC</w:t>
            </w:r>
            <w:r w:rsidR="00321B5E">
              <w:rPr>
                <w:noProof/>
                <w:webHidden/>
              </w:rPr>
              <w:tab/>
            </w:r>
            <w:r w:rsidR="00321B5E">
              <w:rPr>
                <w:noProof/>
                <w:webHidden/>
              </w:rPr>
              <w:fldChar w:fldCharType="begin"/>
            </w:r>
            <w:r w:rsidR="00321B5E">
              <w:rPr>
                <w:noProof/>
                <w:webHidden/>
              </w:rPr>
              <w:instrText xml:space="preserve"> PAGEREF _Toc26174989 \h </w:instrText>
            </w:r>
            <w:r w:rsidR="00321B5E">
              <w:rPr>
                <w:noProof/>
                <w:webHidden/>
              </w:rPr>
            </w:r>
            <w:r w:rsidR="00321B5E">
              <w:rPr>
                <w:noProof/>
                <w:webHidden/>
              </w:rPr>
              <w:fldChar w:fldCharType="separate"/>
            </w:r>
            <w:r w:rsidR="00321B5E">
              <w:rPr>
                <w:noProof/>
                <w:webHidden/>
              </w:rPr>
              <w:t>2</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4990" w:history="1">
            <w:r w:rsidR="00321B5E" w:rsidRPr="00830C7E">
              <w:rPr>
                <w:rStyle w:val="Hyperlink"/>
                <w:noProof/>
              </w:rPr>
              <w:t>B.</w:t>
            </w:r>
            <w:r w:rsidR="00321B5E">
              <w:rPr>
                <w:rFonts w:asciiTheme="minorHAnsi" w:eastAsiaTheme="minorEastAsia" w:hAnsiTheme="minorHAnsi" w:cstheme="minorBidi"/>
                <w:b w:val="0"/>
                <w:smallCaps w:val="0"/>
                <w:noProof/>
                <w:sz w:val="22"/>
                <w:szCs w:val="22"/>
              </w:rPr>
              <w:tab/>
            </w:r>
            <w:r w:rsidR="00321B5E" w:rsidRPr="00830C7E">
              <w:rPr>
                <w:rStyle w:val="Hyperlink"/>
                <w:noProof/>
              </w:rPr>
              <w:t>DEEP</w:t>
            </w:r>
            <w:r w:rsidR="00321B5E">
              <w:rPr>
                <w:noProof/>
                <w:webHidden/>
              </w:rPr>
              <w:tab/>
            </w:r>
            <w:r w:rsidR="00321B5E">
              <w:rPr>
                <w:noProof/>
                <w:webHidden/>
              </w:rPr>
              <w:fldChar w:fldCharType="begin"/>
            </w:r>
            <w:r w:rsidR="00321B5E">
              <w:rPr>
                <w:noProof/>
                <w:webHidden/>
              </w:rPr>
              <w:instrText xml:space="preserve"> PAGEREF _Toc26174990 \h </w:instrText>
            </w:r>
            <w:r w:rsidR="00321B5E">
              <w:rPr>
                <w:noProof/>
                <w:webHidden/>
              </w:rPr>
            </w:r>
            <w:r w:rsidR="00321B5E">
              <w:rPr>
                <w:noProof/>
                <w:webHidden/>
              </w:rPr>
              <w:fldChar w:fldCharType="separate"/>
            </w:r>
            <w:r w:rsidR="00321B5E">
              <w:rPr>
                <w:noProof/>
                <w:webHidden/>
              </w:rPr>
              <w:t>3</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4991" w:history="1">
            <w:r w:rsidR="00321B5E" w:rsidRPr="00830C7E">
              <w:rPr>
                <w:rStyle w:val="Hyperlink"/>
                <w:noProof/>
              </w:rPr>
              <w:t>C.</w:t>
            </w:r>
            <w:r w:rsidR="00321B5E">
              <w:rPr>
                <w:rFonts w:asciiTheme="minorHAnsi" w:eastAsiaTheme="minorEastAsia" w:hAnsiTheme="minorHAnsi" w:cstheme="minorBidi"/>
                <w:b w:val="0"/>
                <w:smallCaps w:val="0"/>
                <w:noProof/>
                <w:sz w:val="22"/>
                <w:szCs w:val="22"/>
              </w:rPr>
              <w:tab/>
            </w:r>
            <w:r w:rsidR="00321B5E" w:rsidRPr="00830C7E">
              <w:rPr>
                <w:rStyle w:val="Hyperlink"/>
                <w:noProof/>
              </w:rPr>
              <w:t>AG</w:t>
            </w:r>
            <w:r w:rsidR="00321B5E">
              <w:rPr>
                <w:noProof/>
                <w:webHidden/>
              </w:rPr>
              <w:tab/>
            </w:r>
            <w:r w:rsidR="00321B5E">
              <w:rPr>
                <w:noProof/>
                <w:webHidden/>
              </w:rPr>
              <w:fldChar w:fldCharType="begin"/>
            </w:r>
            <w:r w:rsidR="00321B5E">
              <w:rPr>
                <w:noProof/>
                <w:webHidden/>
              </w:rPr>
              <w:instrText xml:space="preserve"> PAGEREF _Toc26174991 \h </w:instrText>
            </w:r>
            <w:r w:rsidR="00321B5E">
              <w:rPr>
                <w:noProof/>
                <w:webHidden/>
              </w:rPr>
            </w:r>
            <w:r w:rsidR="00321B5E">
              <w:rPr>
                <w:noProof/>
                <w:webHidden/>
              </w:rPr>
              <w:fldChar w:fldCharType="separate"/>
            </w:r>
            <w:r w:rsidR="00321B5E">
              <w:rPr>
                <w:noProof/>
                <w:webHidden/>
              </w:rPr>
              <w:t>4</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4992" w:history="1">
            <w:r w:rsidR="00321B5E" w:rsidRPr="00830C7E">
              <w:rPr>
                <w:rStyle w:val="Hyperlink"/>
                <w:noProof/>
              </w:rPr>
              <w:t>D.</w:t>
            </w:r>
            <w:r w:rsidR="00321B5E">
              <w:rPr>
                <w:rFonts w:asciiTheme="minorHAnsi" w:eastAsiaTheme="minorEastAsia" w:hAnsiTheme="minorHAnsi" w:cstheme="minorBidi"/>
                <w:b w:val="0"/>
                <w:smallCaps w:val="0"/>
                <w:noProof/>
                <w:sz w:val="22"/>
                <w:szCs w:val="22"/>
              </w:rPr>
              <w:tab/>
            </w:r>
            <w:r w:rsidR="00321B5E" w:rsidRPr="00830C7E">
              <w:rPr>
                <w:rStyle w:val="Hyperlink"/>
                <w:noProof/>
              </w:rPr>
              <w:t>Retail Energy Supply Association</w:t>
            </w:r>
            <w:r w:rsidR="00321B5E">
              <w:rPr>
                <w:noProof/>
                <w:webHidden/>
              </w:rPr>
              <w:tab/>
            </w:r>
            <w:r w:rsidR="00321B5E">
              <w:rPr>
                <w:noProof/>
                <w:webHidden/>
              </w:rPr>
              <w:fldChar w:fldCharType="begin"/>
            </w:r>
            <w:r w:rsidR="00321B5E">
              <w:rPr>
                <w:noProof/>
                <w:webHidden/>
              </w:rPr>
              <w:instrText xml:space="preserve"> PAGEREF _Toc26174992 \h </w:instrText>
            </w:r>
            <w:r w:rsidR="00321B5E">
              <w:rPr>
                <w:noProof/>
                <w:webHidden/>
              </w:rPr>
            </w:r>
            <w:r w:rsidR="00321B5E">
              <w:rPr>
                <w:noProof/>
                <w:webHidden/>
              </w:rPr>
              <w:fldChar w:fldCharType="separate"/>
            </w:r>
            <w:r w:rsidR="00321B5E">
              <w:rPr>
                <w:noProof/>
                <w:webHidden/>
              </w:rPr>
              <w:t>5</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4993" w:history="1">
            <w:r w:rsidR="00321B5E" w:rsidRPr="00830C7E">
              <w:rPr>
                <w:rStyle w:val="Hyperlink"/>
                <w:noProof/>
              </w:rPr>
              <w:t>E.</w:t>
            </w:r>
            <w:r w:rsidR="00321B5E">
              <w:rPr>
                <w:rFonts w:asciiTheme="minorHAnsi" w:eastAsiaTheme="minorEastAsia" w:hAnsiTheme="minorHAnsi" w:cstheme="minorBidi"/>
                <w:b w:val="0"/>
                <w:smallCaps w:val="0"/>
                <w:noProof/>
                <w:sz w:val="22"/>
                <w:szCs w:val="22"/>
              </w:rPr>
              <w:tab/>
            </w:r>
            <w:r w:rsidR="00321B5E" w:rsidRPr="00830C7E">
              <w:rPr>
                <w:rStyle w:val="Hyperlink"/>
                <w:noProof/>
              </w:rPr>
              <w:t>Direct Energy Business, LLC/Direct Energy Services, LLC</w:t>
            </w:r>
            <w:r w:rsidR="00321B5E">
              <w:rPr>
                <w:noProof/>
                <w:webHidden/>
              </w:rPr>
              <w:tab/>
            </w:r>
            <w:r w:rsidR="00321B5E">
              <w:rPr>
                <w:noProof/>
                <w:webHidden/>
              </w:rPr>
              <w:fldChar w:fldCharType="begin"/>
            </w:r>
            <w:r w:rsidR="00321B5E">
              <w:rPr>
                <w:noProof/>
                <w:webHidden/>
              </w:rPr>
              <w:instrText xml:space="preserve"> PAGEREF _Toc26174993 \h </w:instrText>
            </w:r>
            <w:r w:rsidR="00321B5E">
              <w:rPr>
                <w:noProof/>
                <w:webHidden/>
              </w:rPr>
            </w:r>
            <w:r w:rsidR="00321B5E">
              <w:rPr>
                <w:noProof/>
                <w:webHidden/>
              </w:rPr>
              <w:fldChar w:fldCharType="separate"/>
            </w:r>
            <w:r w:rsidR="00321B5E">
              <w:rPr>
                <w:noProof/>
                <w:webHidden/>
              </w:rPr>
              <w:t>5</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4994" w:history="1">
            <w:r w:rsidR="00321B5E" w:rsidRPr="00830C7E">
              <w:rPr>
                <w:rStyle w:val="Hyperlink"/>
                <w:noProof/>
              </w:rPr>
              <w:t>F.</w:t>
            </w:r>
            <w:r w:rsidR="00321B5E">
              <w:rPr>
                <w:rFonts w:asciiTheme="minorHAnsi" w:eastAsiaTheme="minorEastAsia" w:hAnsiTheme="minorHAnsi" w:cstheme="minorBidi"/>
                <w:b w:val="0"/>
                <w:smallCaps w:val="0"/>
                <w:noProof/>
                <w:sz w:val="22"/>
                <w:szCs w:val="22"/>
              </w:rPr>
              <w:tab/>
            </w:r>
            <w:r w:rsidR="00321B5E" w:rsidRPr="00830C7E">
              <w:rPr>
                <w:rStyle w:val="Hyperlink"/>
                <w:noProof/>
              </w:rPr>
              <w:t>Electric Distribution Companies</w:t>
            </w:r>
            <w:r w:rsidR="00321B5E">
              <w:rPr>
                <w:noProof/>
                <w:webHidden/>
              </w:rPr>
              <w:tab/>
            </w:r>
            <w:r w:rsidR="00321B5E">
              <w:rPr>
                <w:noProof/>
                <w:webHidden/>
              </w:rPr>
              <w:fldChar w:fldCharType="begin"/>
            </w:r>
            <w:r w:rsidR="00321B5E">
              <w:rPr>
                <w:noProof/>
                <w:webHidden/>
              </w:rPr>
              <w:instrText xml:space="preserve"> PAGEREF _Toc26174994 \h </w:instrText>
            </w:r>
            <w:r w:rsidR="00321B5E">
              <w:rPr>
                <w:noProof/>
                <w:webHidden/>
              </w:rPr>
            </w:r>
            <w:r w:rsidR="00321B5E">
              <w:rPr>
                <w:noProof/>
                <w:webHidden/>
              </w:rPr>
              <w:fldChar w:fldCharType="separate"/>
            </w:r>
            <w:r w:rsidR="00321B5E">
              <w:rPr>
                <w:noProof/>
                <w:webHidden/>
              </w:rPr>
              <w:t>6</w:t>
            </w:r>
            <w:r w:rsidR="00321B5E">
              <w:rPr>
                <w:noProof/>
                <w:webHidden/>
              </w:rPr>
              <w:fldChar w:fldCharType="end"/>
            </w:r>
          </w:hyperlink>
        </w:p>
        <w:p w:rsidR="00321B5E" w:rsidRDefault="00831060">
          <w:pPr>
            <w:pStyle w:val="TOC1"/>
            <w:rPr>
              <w:rFonts w:asciiTheme="minorHAnsi" w:eastAsiaTheme="minorEastAsia" w:hAnsiTheme="minorHAnsi" w:cstheme="minorBidi"/>
              <w:b w:val="0"/>
              <w:caps w:val="0"/>
              <w:noProof/>
              <w:sz w:val="22"/>
              <w:szCs w:val="22"/>
            </w:rPr>
          </w:pPr>
          <w:hyperlink w:anchor="_Toc26174995" w:history="1">
            <w:r w:rsidR="00321B5E" w:rsidRPr="00830C7E">
              <w:rPr>
                <w:rStyle w:val="Hyperlink"/>
                <w:noProof/>
              </w:rPr>
              <w:t>III.</w:t>
            </w:r>
            <w:r w:rsidR="00321B5E">
              <w:rPr>
                <w:rFonts w:asciiTheme="minorHAnsi" w:eastAsiaTheme="minorEastAsia" w:hAnsiTheme="minorHAnsi" w:cstheme="minorBidi"/>
                <w:b w:val="0"/>
                <w:caps w:val="0"/>
                <w:noProof/>
                <w:sz w:val="22"/>
                <w:szCs w:val="22"/>
              </w:rPr>
              <w:tab/>
            </w:r>
            <w:r w:rsidR="00321B5E" w:rsidRPr="00830C7E">
              <w:rPr>
                <w:rStyle w:val="Hyperlink"/>
                <w:noProof/>
              </w:rPr>
              <w:t>AUTHORITY ANALYSIS</w:t>
            </w:r>
            <w:r w:rsidR="00321B5E">
              <w:rPr>
                <w:noProof/>
                <w:webHidden/>
              </w:rPr>
              <w:tab/>
            </w:r>
            <w:r w:rsidR="00321B5E">
              <w:rPr>
                <w:noProof/>
                <w:webHidden/>
              </w:rPr>
              <w:fldChar w:fldCharType="begin"/>
            </w:r>
            <w:r w:rsidR="00321B5E">
              <w:rPr>
                <w:noProof/>
                <w:webHidden/>
              </w:rPr>
              <w:instrText xml:space="preserve"> PAGEREF _Toc26174995 \h </w:instrText>
            </w:r>
            <w:r w:rsidR="00321B5E">
              <w:rPr>
                <w:noProof/>
                <w:webHidden/>
              </w:rPr>
            </w:r>
            <w:r w:rsidR="00321B5E">
              <w:rPr>
                <w:noProof/>
                <w:webHidden/>
              </w:rPr>
              <w:fldChar w:fldCharType="separate"/>
            </w:r>
            <w:r w:rsidR="00321B5E">
              <w:rPr>
                <w:noProof/>
                <w:webHidden/>
              </w:rPr>
              <w:t>7</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4996" w:history="1">
            <w:r w:rsidR="00321B5E" w:rsidRPr="00830C7E">
              <w:rPr>
                <w:rStyle w:val="Hyperlink"/>
                <w:rFonts w:cs="Arial"/>
                <w:noProof/>
              </w:rPr>
              <w:t>A.</w:t>
            </w:r>
            <w:r w:rsidR="00321B5E">
              <w:rPr>
                <w:rFonts w:asciiTheme="minorHAnsi" w:eastAsiaTheme="minorEastAsia" w:hAnsiTheme="minorHAnsi" w:cstheme="minorBidi"/>
                <w:b w:val="0"/>
                <w:smallCaps w:val="0"/>
                <w:noProof/>
                <w:sz w:val="22"/>
                <w:szCs w:val="22"/>
              </w:rPr>
              <w:tab/>
            </w:r>
            <w:r w:rsidR="00321B5E" w:rsidRPr="00830C7E">
              <w:rPr>
                <w:rStyle w:val="Hyperlink"/>
                <w:rFonts w:cs="Arial"/>
                <w:noProof/>
              </w:rPr>
              <w:t>Benefits</w:t>
            </w:r>
            <w:r w:rsidR="00321B5E">
              <w:rPr>
                <w:noProof/>
                <w:webHidden/>
              </w:rPr>
              <w:tab/>
            </w:r>
            <w:r w:rsidR="00321B5E">
              <w:rPr>
                <w:noProof/>
                <w:webHidden/>
              </w:rPr>
              <w:fldChar w:fldCharType="begin"/>
            </w:r>
            <w:r w:rsidR="00321B5E">
              <w:rPr>
                <w:noProof/>
                <w:webHidden/>
              </w:rPr>
              <w:instrText xml:space="preserve"> PAGEREF _Toc26174996 \h </w:instrText>
            </w:r>
            <w:r w:rsidR="00321B5E">
              <w:rPr>
                <w:noProof/>
                <w:webHidden/>
              </w:rPr>
            </w:r>
            <w:r w:rsidR="00321B5E">
              <w:rPr>
                <w:noProof/>
                <w:webHidden/>
              </w:rPr>
              <w:fldChar w:fldCharType="separate"/>
            </w:r>
            <w:r w:rsidR="00321B5E">
              <w:rPr>
                <w:noProof/>
                <w:webHidden/>
              </w:rPr>
              <w:t>7</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4997" w:history="1">
            <w:r w:rsidR="00321B5E" w:rsidRPr="00830C7E">
              <w:rPr>
                <w:rStyle w:val="Hyperlink"/>
                <w:rFonts w:cs="Arial"/>
                <w:noProof/>
              </w:rPr>
              <w:t>B.</w:t>
            </w:r>
            <w:r w:rsidR="00321B5E">
              <w:rPr>
                <w:rFonts w:asciiTheme="minorHAnsi" w:eastAsiaTheme="minorEastAsia" w:hAnsiTheme="minorHAnsi" w:cstheme="minorBidi"/>
                <w:b w:val="0"/>
                <w:smallCaps w:val="0"/>
                <w:noProof/>
                <w:sz w:val="22"/>
                <w:szCs w:val="22"/>
              </w:rPr>
              <w:tab/>
            </w:r>
            <w:r w:rsidR="00321B5E" w:rsidRPr="00830C7E">
              <w:rPr>
                <w:rStyle w:val="Hyperlink"/>
                <w:rFonts w:cs="Arial"/>
                <w:noProof/>
              </w:rPr>
              <w:t>Feasibility and Costs</w:t>
            </w:r>
            <w:r w:rsidR="00321B5E">
              <w:rPr>
                <w:noProof/>
                <w:webHidden/>
              </w:rPr>
              <w:tab/>
            </w:r>
            <w:r w:rsidR="00321B5E">
              <w:rPr>
                <w:noProof/>
                <w:webHidden/>
              </w:rPr>
              <w:fldChar w:fldCharType="begin"/>
            </w:r>
            <w:r w:rsidR="00321B5E">
              <w:rPr>
                <w:noProof/>
                <w:webHidden/>
              </w:rPr>
              <w:instrText xml:space="preserve"> PAGEREF _Toc26174997 \h </w:instrText>
            </w:r>
            <w:r w:rsidR="00321B5E">
              <w:rPr>
                <w:noProof/>
                <w:webHidden/>
              </w:rPr>
            </w:r>
            <w:r w:rsidR="00321B5E">
              <w:rPr>
                <w:noProof/>
                <w:webHidden/>
              </w:rPr>
              <w:fldChar w:fldCharType="separate"/>
            </w:r>
            <w:r w:rsidR="00321B5E">
              <w:rPr>
                <w:noProof/>
                <w:webHidden/>
              </w:rPr>
              <w:t>9</w:t>
            </w:r>
            <w:r w:rsidR="00321B5E">
              <w:rPr>
                <w:noProof/>
                <w:webHidden/>
              </w:rPr>
              <w:fldChar w:fldCharType="end"/>
            </w:r>
          </w:hyperlink>
        </w:p>
        <w:p w:rsidR="00321B5E" w:rsidRDefault="00831060">
          <w:pPr>
            <w:pStyle w:val="TOC1"/>
            <w:rPr>
              <w:rFonts w:asciiTheme="minorHAnsi" w:eastAsiaTheme="minorEastAsia" w:hAnsiTheme="minorHAnsi" w:cstheme="minorBidi"/>
              <w:b w:val="0"/>
              <w:caps w:val="0"/>
              <w:noProof/>
              <w:sz w:val="22"/>
              <w:szCs w:val="22"/>
            </w:rPr>
          </w:pPr>
          <w:hyperlink w:anchor="_Toc26174998" w:history="1">
            <w:r w:rsidR="00321B5E" w:rsidRPr="00830C7E">
              <w:rPr>
                <w:rStyle w:val="Hyperlink"/>
                <w:noProof/>
              </w:rPr>
              <w:t>IV.</w:t>
            </w:r>
            <w:r w:rsidR="00321B5E">
              <w:rPr>
                <w:rFonts w:asciiTheme="minorHAnsi" w:eastAsiaTheme="minorEastAsia" w:hAnsiTheme="minorHAnsi" w:cstheme="minorBidi"/>
                <w:b w:val="0"/>
                <w:caps w:val="0"/>
                <w:noProof/>
                <w:sz w:val="22"/>
                <w:szCs w:val="22"/>
              </w:rPr>
              <w:tab/>
            </w:r>
            <w:r w:rsidR="00321B5E" w:rsidRPr="00830C7E">
              <w:rPr>
                <w:rStyle w:val="Hyperlink"/>
                <w:noProof/>
              </w:rPr>
              <w:t>FINDINGS OF FACT</w:t>
            </w:r>
            <w:r w:rsidR="00321B5E">
              <w:rPr>
                <w:noProof/>
                <w:webHidden/>
              </w:rPr>
              <w:tab/>
            </w:r>
            <w:r w:rsidR="00321B5E">
              <w:rPr>
                <w:noProof/>
                <w:webHidden/>
              </w:rPr>
              <w:fldChar w:fldCharType="begin"/>
            </w:r>
            <w:r w:rsidR="00321B5E">
              <w:rPr>
                <w:noProof/>
                <w:webHidden/>
              </w:rPr>
              <w:instrText xml:space="preserve"> PAGEREF _Toc26174998 \h </w:instrText>
            </w:r>
            <w:r w:rsidR="00321B5E">
              <w:rPr>
                <w:noProof/>
                <w:webHidden/>
              </w:rPr>
            </w:r>
            <w:r w:rsidR="00321B5E">
              <w:rPr>
                <w:noProof/>
                <w:webHidden/>
              </w:rPr>
              <w:fldChar w:fldCharType="separate"/>
            </w:r>
            <w:r w:rsidR="00321B5E">
              <w:rPr>
                <w:noProof/>
                <w:webHidden/>
              </w:rPr>
              <w:t>12</w:t>
            </w:r>
            <w:r w:rsidR="00321B5E">
              <w:rPr>
                <w:noProof/>
                <w:webHidden/>
              </w:rPr>
              <w:fldChar w:fldCharType="end"/>
            </w:r>
          </w:hyperlink>
        </w:p>
        <w:p w:rsidR="00321B5E" w:rsidRDefault="00831060">
          <w:pPr>
            <w:pStyle w:val="TOC1"/>
            <w:rPr>
              <w:rFonts w:asciiTheme="minorHAnsi" w:eastAsiaTheme="minorEastAsia" w:hAnsiTheme="minorHAnsi" w:cstheme="minorBidi"/>
              <w:b w:val="0"/>
              <w:caps w:val="0"/>
              <w:noProof/>
              <w:sz w:val="22"/>
              <w:szCs w:val="22"/>
            </w:rPr>
          </w:pPr>
          <w:hyperlink w:anchor="_Toc26174999" w:history="1">
            <w:r w:rsidR="00321B5E" w:rsidRPr="00830C7E">
              <w:rPr>
                <w:rStyle w:val="Hyperlink"/>
                <w:noProof/>
              </w:rPr>
              <w:t>V.</w:t>
            </w:r>
            <w:r w:rsidR="00321B5E">
              <w:rPr>
                <w:rFonts w:asciiTheme="minorHAnsi" w:eastAsiaTheme="minorEastAsia" w:hAnsiTheme="minorHAnsi" w:cstheme="minorBidi"/>
                <w:b w:val="0"/>
                <w:caps w:val="0"/>
                <w:noProof/>
                <w:sz w:val="22"/>
                <w:szCs w:val="22"/>
              </w:rPr>
              <w:tab/>
            </w:r>
            <w:r w:rsidR="00321B5E" w:rsidRPr="00830C7E">
              <w:rPr>
                <w:rStyle w:val="Hyperlink"/>
                <w:noProof/>
              </w:rPr>
              <w:t>CONCLUSION AND ORDERS</w:t>
            </w:r>
            <w:r w:rsidR="00321B5E">
              <w:rPr>
                <w:noProof/>
                <w:webHidden/>
              </w:rPr>
              <w:tab/>
            </w:r>
            <w:r w:rsidR="00321B5E">
              <w:rPr>
                <w:noProof/>
                <w:webHidden/>
              </w:rPr>
              <w:fldChar w:fldCharType="begin"/>
            </w:r>
            <w:r w:rsidR="00321B5E">
              <w:rPr>
                <w:noProof/>
                <w:webHidden/>
              </w:rPr>
              <w:instrText xml:space="preserve"> PAGEREF _Toc26174999 \h </w:instrText>
            </w:r>
            <w:r w:rsidR="00321B5E">
              <w:rPr>
                <w:noProof/>
                <w:webHidden/>
              </w:rPr>
            </w:r>
            <w:r w:rsidR="00321B5E">
              <w:rPr>
                <w:noProof/>
                <w:webHidden/>
              </w:rPr>
              <w:fldChar w:fldCharType="separate"/>
            </w:r>
            <w:r w:rsidR="00321B5E">
              <w:rPr>
                <w:noProof/>
                <w:webHidden/>
              </w:rPr>
              <w:t>13</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5000" w:history="1">
            <w:r w:rsidR="00321B5E" w:rsidRPr="00830C7E">
              <w:rPr>
                <w:rStyle w:val="Hyperlink"/>
                <w:noProof/>
              </w:rPr>
              <w:t>A.</w:t>
            </w:r>
            <w:r w:rsidR="00321B5E">
              <w:rPr>
                <w:rFonts w:asciiTheme="minorHAnsi" w:eastAsiaTheme="minorEastAsia" w:hAnsiTheme="minorHAnsi" w:cstheme="minorBidi"/>
                <w:b w:val="0"/>
                <w:smallCaps w:val="0"/>
                <w:noProof/>
                <w:sz w:val="22"/>
                <w:szCs w:val="22"/>
              </w:rPr>
              <w:tab/>
            </w:r>
            <w:r w:rsidR="00321B5E" w:rsidRPr="00830C7E">
              <w:rPr>
                <w:rStyle w:val="Hyperlink"/>
                <w:noProof/>
              </w:rPr>
              <w:t>Conclusion</w:t>
            </w:r>
            <w:r w:rsidR="00321B5E">
              <w:rPr>
                <w:noProof/>
                <w:webHidden/>
              </w:rPr>
              <w:tab/>
            </w:r>
            <w:r w:rsidR="00321B5E">
              <w:rPr>
                <w:noProof/>
                <w:webHidden/>
              </w:rPr>
              <w:fldChar w:fldCharType="begin"/>
            </w:r>
            <w:r w:rsidR="00321B5E">
              <w:rPr>
                <w:noProof/>
                <w:webHidden/>
              </w:rPr>
              <w:instrText xml:space="preserve"> PAGEREF _Toc26175000 \h </w:instrText>
            </w:r>
            <w:r w:rsidR="00321B5E">
              <w:rPr>
                <w:noProof/>
                <w:webHidden/>
              </w:rPr>
            </w:r>
            <w:r w:rsidR="00321B5E">
              <w:rPr>
                <w:noProof/>
                <w:webHidden/>
              </w:rPr>
              <w:fldChar w:fldCharType="separate"/>
            </w:r>
            <w:r w:rsidR="00321B5E">
              <w:rPr>
                <w:noProof/>
                <w:webHidden/>
              </w:rPr>
              <w:t>13</w:t>
            </w:r>
            <w:r w:rsidR="00321B5E">
              <w:rPr>
                <w:noProof/>
                <w:webHidden/>
              </w:rPr>
              <w:fldChar w:fldCharType="end"/>
            </w:r>
          </w:hyperlink>
        </w:p>
        <w:p w:rsidR="00321B5E" w:rsidRDefault="00831060">
          <w:pPr>
            <w:pStyle w:val="TOC2"/>
            <w:rPr>
              <w:rFonts w:asciiTheme="minorHAnsi" w:eastAsiaTheme="minorEastAsia" w:hAnsiTheme="minorHAnsi" w:cstheme="minorBidi"/>
              <w:b w:val="0"/>
              <w:smallCaps w:val="0"/>
              <w:noProof/>
              <w:sz w:val="22"/>
              <w:szCs w:val="22"/>
            </w:rPr>
          </w:pPr>
          <w:hyperlink w:anchor="_Toc26175001" w:history="1">
            <w:r w:rsidR="00321B5E" w:rsidRPr="00830C7E">
              <w:rPr>
                <w:rStyle w:val="Hyperlink"/>
                <w:noProof/>
              </w:rPr>
              <w:t>B.</w:t>
            </w:r>
            <w:r w:rsidR="00321B5E">
              <w:rPr>
                <w:rFonts w:asciiTheme="minorHAnsi" w:eastAsiaTheme="minorEastAsia" w:hAnsiTheme="minorHAnsi" w:cstheme="minorBidi"/>
                <w:b w:val="0"/>
                <w:smallCaps w:val="0"/>
                <w:noProof/>
                <w:sz w:val="22"/>
                <w:szCs w:val="22"/>
              </w:rPr>
              <w:tab/>
            </w:r>
            <w:r w:rsidR="00321B5E" w:rsidRPr="00830C7E">
              <w:rPr>
                <w:rStyle w:val="Hyperlink"/>
                <w:noProof/>
              </w:rPr>
              <w:t>Orders</w:t>
            </w:r>
            <w:r w:rsidR="00321B5E">
              <w:rPr>
                <w:noProof/>
                <w:webHidden/>
              </w:rPr>
              <w:tab/>
            </w:r>
            <w:r w:rsidR="00321B5E">
              <w:rPr>
                <w:noProof/>
                <w:webHidden/>
              </w:rPr>
              <w:fldChar w:fldCharType="begin"/>
            </w:r>
            <w:r w:rsidR="00321B5E">
              <w:rPr>
                <w:noProof/>
                <w:webHidden/>
              </w:rPr>
              <w:instrText xml:space="preserve"> PAGEREF _Toc26175001 \h </w:instrText>
            </w:r>
            <w:r w:rsidR="00321B5E">
              <w:rPr>
                <w:noProof/>
                <w:webHidden/>
              </w:rPr>
            </w:r>
            <w:r w:rsidR="00321B5E">
              <w:rPr>
                <w:noProof/>
                <w:webHidden/>
              </w:rPr>
              <w:fldChar w:fldCharType="separate"/>
            </w:r>
            <w:r w:rsidR="00321B5E">
              <w:rPr>
                <w:noProof/>
                <w:webHidden/>
              </w:rPr>
              <w:t>13</w:t>
            </w:r>
            <w:r w:rsidR="00321B5E">
              <w:rPr>
                <w:noProof/>
                <w:webHidden/>
              </w:rPr>
              <w:fldChar w:fldCharType="end"/>
            </w:r>
          </w:hyperlink>
        </w:p>
        <w:p w:rsidR="001A4E0D" w:rsidRDefault="001A4E0D" w:rsidP="001A4E0D">
          <w:r>
            <w:rPr>
              <w:b/>
              <w:bCs/>
              <w:noProof/>
            </w:rPr>
            <w:fldChar w:fldCharType="end"/>
          </w:r>
        </w:p>
      </w:sdtContent>
    </w:sdt>
    <w:p w:rsidR="001A4E0D" w:rsidRDefault="001A4E0D" w:rsidP="001A4E0D">
      <w:pPr>
        <w:spacing w:line="240" w:lineRule="atLeast"/>
      </w:pPr>
    </w:p>
    <w:p w:rsidR="001A4E0D" w:rsidRDefault="001A4E0D" w:rsidP="001A4E0D">
      <w:pPr>
        <w:spacing w:line="240" w:lineRule="atLeast"/>
      </w:pPr>
    </w:p>
    <w:p w:rsidR="001A4E0D" w:rsidRDefault="001A4E0D" w:rsidP="001A4E0D">
      <w:pPr>
        <w:spacing w:line="240" w:lineRule="atLeast"/>
      </w:pPr>
    </w:p>
    <w:p w:rsidR="001A4E0D" w:rsidRDefault="001A4E0D" w:rsidP="001A4E0D">
      <w:pPr>
        <w:spacing w:line="240" w:lineRule="atLeast"/>
        <w:sectPr w:rsidR="001A4E0D" w:rsidSect="004B10F5">
          <w:headerReference w:type="default" r:id="rId13"/>
          <w:footerReference w:type="default" r:id="rId14"/>
          <w:footerReference w:type="first" r:id="rId15"/>
          <w:pgSz w:w="12240" w:h="15840" w:code="1"/>
          <w:pgMar w:top="1152" w:right="1440" w:bottom="1152" w:left="1440" w:header="432" w:footer="288" w:gutter="0"/>
          <w:paperSrc w:first="3" w:other="3"/>
          <w:cols w:space="720"/>
          <w:titlePg/>
          <w:docGrid w:linePitch="326"/>
        </w:sectPr>
      </w:pPr>
    </w:p>
    <w:p w:rsidR="001A4E0D" w:rsidRDefault="001A4E0D" w:rsidP="001A4E0D">
      <w:pPr>
        <w:spacing w:line="240" w:lineRule="atLeast"/>
        <w:jc w:val="center"/>
        <w:rPr>
          <w:b/>
          <w:sz w:val="26"/>
          <w:u w:val="single"/>
        </w:rPr>
      </w:pPr>
      <w:r>
        <w:rPr>
          <w:b/>
          <w:sz w:val="26"/>
          <w:u w:val="double"/>
        </w:rPr>
        <w:lastRenderedPageBreak/>
        <w:t xml:space="preserve">PROPOSED FINAL </w:t>
      </w:r>
      <w:r>
        <w:rPr>
          <w:b/>
          <w:sz w:val="26"/>
          <w:u w:val="single"/>
        </w:rPr>
        <w:t>DECISION</w:t>
      </w:r>
    </w:p>
    <w:p w:rsidR="001A4E0D" w:rsidRDefault="001A4E0D" w:rsidP="001A4E0D"/>
    <w:p w:rsidR="001A4E0D" w:rsidRPr="00321B5E" w:rsidRDefault="001A4E0D" w:rsidP="001A4E0D">
      <w:pPr>
        <w:pStyle w:val="Heading1"/>
        <w:numPr>
          <w:ilvl w:val="0"/>
          <w:numId w:val="29"/>
        </w:numPr>
        <w:tabs>
          <w:tab w:val="clear" w:pos="360"/>
        </w:tabs>
        <w:rPr>
          <w:rFonts w:cs="Arial"/>
          <w:szCs w:val="24"/>
        </w:rPr>
      </w:pPr>
      <w:bookmarkStart w:id="14" w:name="_Toc26174982"/>
      <w:r w:rsidRPr="00321B5E">
        <w:rPr>
          <w:rFonts w:cs="Arial"/>
          <w:szCs w:val="24"/>
        </w:rPr>
        <w:t>INTRODUCTION</w:t>
      </w:r>
      <w:bookmarkEnd w:id="14"/>
    </w:p>
    <w:p w:rsidR="001A4E0D" w:rsidRPr="00321B5E" w:rsidRDefault="001A4E0D" w:rsidP="001A4E0D">
      <w:pPr>
        <w:rPr>
          <w:rFonts w:cs="Arial"/>
          <w:szCs w:val="24"/>
        </w:rPr>
      </w:pPr>
    </w:p>
    <w:p w:rsidR="001A4E0D" w:rsidRPr="00321B5E" w:rsidRDefault="001A4E0D" w:rsidP="001A4E0D">
      <w:pPr>
        <w:pStyle w:val="Heading2"/>
        <w:numPr>
          <w:ilvl w:val="1"/>
          <w:numId w:val="29"/>
        </w:numPr>
        <w:rPr>
          <w:rFonts w:cs="Arial"/>
          <w:szCs w:val="24"/>
        </w:rPr>
      </w:pPr>
      <w:bookmarkStart w:id="15" w:name="_Toc26174983"/>
      <w:r w:rsidRPr="00321B5E">
        <w:rPr>
          <w:rFonts w:cs="Arial"/>
          <w:szCs w:val="24"/>
        </w:rPr>
        <w:t>Summary</w:t>
      </w:r>
      <w:bookmarkEnd w:id="15"/>
    </w:p>
    <w:p w:rsidR="001A4E0D" w:rsidRPr="00321B5E" w:rsidRDefault="001A4E0D" w:rsidP="001A4E0D">
      <w:pPr>
        <w:rPr>
          <w:rFonts w:cs="Arial"/>
          <w:szCs w:val="24"/>
        </w:rPr>
      </w:pPr>
    </w:p>
    <w:p w:rsidR="001A4E0D" w:rsidRPr="00321B5E" w:rsidRDefault="00A5617F" w:rsidP="00A5617F">
      <w:pPr>
        <w:ind w:firstLine="720"/>
        <w:rPr>
          <w:rFonts w:cs="Arial"/>
          <w:szCs w:val="24"/>
        </w:rPr>
      </w:pPr>
      <w:r w:rsidRPr="00321B5E">
        <w:rPr>
          <w:rFonts w:cs="Arial"/>
          <w:szCs w:val="24"/>
        </w:rPr>
        <w:t>The Public Utilities Regulatory Authority finds that customers defined as hardship pursuant to Section</w:t>
      </w:r>
      <w:r w:rsidR="0029261F" w:rsidRPr="00321B5E">
        <w:rPr>
          <w:rFonts w:cs="Arial"/>
          <w:szCs w:val="24"/>
        </w:rPr>
        <w:t>s</w:t>
      </w:r>
      <w:r w:rsidRPr="00321B5E">
        <w:rPr>
          <w:rFonts w:cs="Arial"/>
          <w:szCs w:val="24"/>
        </w:rPr>
        <w:t xml:space="preserve"> 16-245o(m) </w:t>
      </w:r>
      <w:r w:rsidR="0029261F" w:rsidRPr="00321B5E">
        <w:rPr>
          <w:rFonts w:cs="Arial"/>
          <w:szCs w:val="24"/>
        </w:rPr>
        <w:t xml:space="preserve">and 16-262c </w:t>
      </w:r>
      <w:r w:rsidRPr="00321B5E">
        <w:rPr>
          <w:rFonts w:cs="Arial"/>
          <w:szCs w:val="24"/>
        </w:rPr>
        <w:t>of the General Statu</w:t>
      </w:r>
      <w:r w:rsidR="00DF5075" w:rsidRPr="00321B5E">
        <w:rPr>
          <w:rFonts w:cs="Arial"/>
          <w:szCs w:val="24"/>
        </w:rPr>
        <w:t>t</w:t>
      </w:r>
      <w:r w:rsidRPr="00321B5E">
        <w:rPr>
          <w:rFonts w:cs="Arial"/>
          <w:szCs w:val="24"/>
        </w:rPr>
        <w:t xml:space="preserve">es of Connecticut receiving electric supply from third-party suppliers have paid more for electric service than they would have receiving </w:t>
      </w:r>
      <w:r w:rsidR="0029261F" w:rsidRPr="00321B5E">
        <w:rPr>
          <w:rFonts w:cs="Arial"/>
          <w:szCs w:val="24"/>
        </w:rPr>
        <w:t xml:space="preserve">standard service </w:t>
      </w:r>
      <w:r w:rsidRPr="00321B5E">
        <w:rPr>
          <w:rFonts w:cs="Arial"/>
          <w:szCs w:val="24"/>
        </w:rPr>
        <w:t>supply from the electric distribution companies</w:t>
      </w:r>
      <w:r w:rsidR="00A421B8" w:rsidRPr="00321B5E">
        <w:rPr>
          <w:rFonts w:cs="Arial"/>
          <w:szCs w:val="24"/>
        </w:rPr>
        <w:t xml:space="preserve"> and they have not received commensurate value for this overpayment</w:t>
      </w:r>
      <w:r w:rsidRPr="00321B5E">
        <w:rPr>
          <w:rFonts w:cs="Arial"/>
          <w:szCs w:val="24"/>
        </w:rPr>
        <w:t xml:space="preserve">. </w:t>
      </w:r>
      <w:r w:rsidR="00CB6625" w:rsidRPr="00321B5E">
        <w:rPr>
          <w:rFonts w:cs="Arial"/>
          <w:szCs w:val="24"/>
        </w:rPr>
        <w:t xml:space="preserve"> </w:t>
      </w:r>
      <w:r w:rsidRPr="00321B5E">
        <w:rPr>
          <w:rFonts w:cs="Arial"/>
          <w:szCs w:val="24"/>
        </w:rPr>
        <w:t xml:space="preserve">This overpayment affects not only the hardship customers, but all Connecticut ratepayers contributing to the hardship payments.  As a result, all hardship customers shall be transferred to standard service </w:t>
      </w:r>
      <w:r w:rsidR="00536A6F" w:rsidRPr="00321B5E">
        <w:rPr>
          <w:rFonts w:cs="Arial"/>
          <w:szCs w:val="24"/>
        </w:rPr>
        <w:t xml:space="preserve">immediately </w:t>
      </w:r>
      <w:r w:rsidRPr="00321B5E">
        <w:rPr>
          <w:rFonts w:cs="Arial"/>
          <w:szCs w:val="24"/>
        </w:rPr>
        <w:t>upon the electric distribution companies’ completion of</w:t>
      </w:r>
      <w:r w:rsidR="00536A6F" w:rsidRPr="00321B5E">
        <w:rPr>
          <w:rFonts w:cs="Arial"/>
          <w:szCs w:val="24"/>
        </w:rPr>
        <w:t xml:space="preserve"> system programming necessary to prevent hardship customers from contracting with third-party electric suppliers. </w:t>
      </w:r>
    </w:p>
    <w:p w:rsidR="00161A1A" w:rsidRPr="00321B5E" w:rsidRDefault="00161A1A" w:rsidP="001A4E0D">
      <w:pPr>
        <w:rPr>
          <w:rFonts w:cs="Arial"/>
          <w:szCs w:val="24"/>
        </w:rPr>
      </w:pPr>
    </w:p>
    <w:p w:rsidR="001A4E0D" w:rsidRPr="00321B5E" w:rsidRDefault="001A4E0D" w:rsidP="001A4E0D">
      <w:pPr>
        <w:pStyle w:val="Heading2"/>
        <w:numPr>
          <w:ilvl w:val="1"/>
          <w:numId w:val="29"/>
        </w:numPr>
        <w:rPr>
          <w:rFonts w:cs="Arial"/>
          <w:szCs w:val="24"/>
        </w:rPr>
      </w:pPr>
      <w:bookmarkStart w:id="16" w:name="_Toc26174984"/>
      <w:r w:rsidRPr="00321B5E">
        <w:rPr>
          <w:rFonts w:cs="Arial"/>
          <w:szCs w:val="24"/>
        </w:rPr>
        <w:t>Background of the Proceeding</w:t>
      </w:r>
      <w:bookmarkEnd w:id="16"/>
    </w:p>
    <w:p w:rsidR="001A4E0D" w:rsidRPr="00321B5E" w:rsidRDefault="001A4E0D" w:rsidP="001A4E0D">
      <w:pPr>
        <w:rPr>
          <w:rFonts w:cs="Arial"/>
          <w:szCs w:val="24"/>
        </w:rPr>
      </w:pPr>
    </w:p>
    <w:p w:rsidR="001A4E0D" w:rsidRPr="00321B5E" w:rsidRDefault="00C25042" w:rsidP="001A4E0D">
      <w:pPr>
        <w:rPr>
          <w:rFonts w:cs="Arial"/>
          <w:szCs w:val="24"/>
        </w:rPr>
      </w:pPr>
      <w:r w:rsidRPr="00321B5E">
        <w:rPr>
          <w:rFonts w:cs="Arial"/>
          <w:szCs w:val="24"/>
        </w:rPr>
        <w:tab/>
      </w:r>
      <w:r w:rsidR="000D236C" w:rsidRPr="00321B5E">
        <w:rPr>
          <w:rFonts w:cs="Arial"/>
          <w:szCs w:val="24"/>
        </w:rPr>
        <w:t>On June 4, 2018, t</w:t>
      </w:r>
      <w:r w:rsidRPr="00321B5E">
        <w:rPr>
          <w:rFonts w:cs="Arial"/>
          <w:szCs w:val="24"/>
        </w:rPr>
        <w:t>he Public Utilities Regulatory Authority (Authority or PURA) established this Docket</w:t>
      </w:r>
      <w:r w:rsidR="000D236C" w:rsidRPr="00321B5E">
        <w:rPr>
          <w:rFonts w:cs="Arial"/>
          <w:szCs w:val="24"/>
        </w:rPr>
        <w:t xml:space="preserve"> to review the feasibility</w:t>
      </w:r>
      <w:r w:rsidRPr="00321B5E">
        <w:rPr>
          <w:rFonts w:cs="Arial"/>
          <w:szCs w:val="24"/>
        </w:rPr>
        <w:t>,</w:t>
      </w:r>
      <w:r w:rsidR="000D236C" w:rsidRPr="00321B5E">
        <w:rPr>
          <w:rFonts w:cs="Arial"/>
          <w:szCs w:val="24"/>
        </w:rPr>
        <w:t xml:space="preserve"> costs and benefits of transferring to standard service all customers referred to in </w:t>
      </w:r>
      <w:r w:rsidRPr="00321B5E">
        <w:rPr>
          <w:rFonts w:cs="Arial"/>
          <w:szCs w:val="24"/>
        </w:rPr>
        <w:t>Section 16-</w:t>
      </w:r>
      <w:proofErr w:type="gramStart"/>
      <w:r w:rsidRPr="00321B5E">
        <w:rPr>
          <w:rFonts w:cs="Arial"/>
          <w:szCs w:val="24"/>
        </w:rPr>
        <w:t>245o(</w:t>
      </w:r>
      <w:proofErr w:type="gramEnd"/>
      <w:r w:rsidRPr="00321B5E">
        <w:rPr>
          <w:rFonts w:cs="Arial"/>
          <w:szCs w:val="24"/>
        </w:rPr>
        <w:t>m) of the General Statu</w:t>
      </w:r>
      <w:r w:rsidR="00DF5075" w:rsidRPr="00321B5E">
        <w:rPr>
          <w:rFonts w:cs="Arial"/>
          <w:szCs w:val="24"/>
        </w:rPr>
        <w:t>t</w:t>
      </w:r>
      <w:r w:rsidRPr="00321B5E">
        <w:rPr>
          <w:rFonts w:cs="Arial"/>
          <w:szCs w:val="24"/>
        </w:rPr>
        <w:t>es of Connecticut</w:t>
      </w:r>
      <w:r w:rsidR="007D3BCC" w:rsidRPr="00321B5E">
        <w:rPr>
          <w:rFonts w:cs="Arial"/>
          <w:szCs w:val="24"/>
        </w:rPr>
        <w:t xml:space="preserve"> (Conn. Gen. Stat.), and, depending on the results of the review, to implement the order described therein.</w:t>
      </w:r>
    </w:p>
    <w:p w:rsidR="001A4E0D" w:rsidRPr="00321B5E" w:rsidRDefault="001A4E0D" w:rsidP="001A4E0D">
      <w:pPr>
        <w:rPr>
          <w:rFonts w:cs="Arial"/>
          <w:szCs w:val="24"/>
        </w:rPr>
      </w:pPr>
    </w:p>
    <w:p w:rsidR="001A4E0D" w:rsidRPr="00321B5E" w:rsidRDefault="001A4E0D" w:rsidP="001A4E0D">
      <w:pPr>
        <w:pStyle w:val="Heading2"/>
        <w:numPr>
          <w:ilvl w:val="1"/>
          <w:numId w:val="29"/>
        </w:numPr>
        <w:rPr>
          <w:rFonts w:cs="Arial"/>
          <w:szCs w:val="24"/>
        </w:rPr>
      </w:pPr>
      <w:bookmarkStart w:id="17" w:name="_Toc26174985"/>
      <w:r w:rsidRPr="00321B5E">
        <w:rPr>
          <w:rFonts w:cs="Arial"/>
          <w:szCs w:val="24"/>
        </w:rPr>
        <w:t>Conduct of the Proceeding</w:t>
      </w:r>
      <w:bookmarkEnd w:id="17"/>
    </w:p>
    <w:p w:rsidR="001A4E0D" w:rsidRPr="00321B5E" w:rsidRDefault="001A4E0D" w:rsidP="001A4E0D">
      <w:pPr>
        <w:rPr>
          <w:rFonts w:cs="Arial"/>
          <w:szCs w:val="24"/>
        </w:rPr>
      </w:pPr>
    </w:p>
    <w:p w:rsidR="001A4E0D" w:rsidRPr="00321B5E" w:rsidRDefault="002B7D83" w:rsidP="001A4E0D">
      <w:pPr>
        <w:rPr>
          <w:rFonts w:cs="Arial"/>
          <w:szCs w:val="24"/>
        </w:rPr>
      </w:pPr>
      <w:r w:rsidRPr="00321B5E">
        <w:rPr>
          <w:rFonts w:cs="Arial"/>
          <w:szCs w:val="24"/>
        </w:rPr>
        <w:tab/>
        <w:t xml:space="preserve">By Notice of Proceeding dated July 11, 2018, the Authority established the above referenced docket.  By Notice of </w:t>
      </w:r>
      <w:r w:rsidR="004545BD" w:rsidRPr="00321B5E">
        <w:rPr>
          <w:rFonts w:cs="Arial"/>
          <w:szCs w:val="24"/>
        </w:rPr>
        <w:t>Administrative</w:t>
      </w:r>
      <w:r w:rsidRPr="00321B5E">
        <w:rPr>
          <w:rFonts w:cs="Arial"/>
          <w:szCs w:val="24"/>
        </w:rPr>
        <w:t xml:space="preserve"> Notice dated September 26, 2018, the Authority incorporated into the record of this proceeding the following documents:</w:t>
      </w:r>
    </w:p>
    <w:p w:rsidR="002B7D83" w:rsidRPr="00321B5E" w:rsidRDefault="002B7D83" w:rsidP="001A4E0D">
      <w:pPr>
        <w:rPr>
          <w:rFonts w:cs="Arial"/>
          <w:szCs w:val="24"/>
        </w:rPr>
      </w:pPr>
    </w:p>
    <w:p w:rsidR="002B7D83" w:rsidRPr="00321B5E" w:rsidRDefault="002B7D83" w:rsidP="002B7D83">
      <w:pPr>
        <w:pStyle w:val="ListParagraph"/>
        <w:numPr>
          <w:ilvl w:val="0"/>
          <w:numId w:val="32"/>
        </w:numPr>
        <w:rPr>
          <w:rFonts w:cs="Arial"/>
          <w:szCs w:val="24"/>
        </w:rPr>
      </w:pPr>
      <w:r w:rsidRPr="00321B5E">
        <w:rPr>
          <w:rFonts w:cs="Arial"/>
          <w:szCs w:val="24"/>
        </w:rPr>
        <w:t>The Low Income Home Energy Assistance Program (LIHEAP) Block Grant 2018/2019 Allocation Plan (Proposed) and attachments thereto indicating the 2019 Federal Poverty Guidelines; and</w:t>
      </w:r>
    </w:p>
    <w:p w:rsidR="002B7D83" w:rsidRPr="00321B5E" w:rsidRDefault="002B7D83" w:rsidP="001A4E0D">
      <w:pPr>
        <w:rPr>
          <w:rFonts w:cs="Arial"/>
          <w:szCs w:val="24"/>
        </w:rPr>
      </w:pPr>
    </w:p>
    <w:p w:rsidR="002B7D83" w:rsidRPr="00321B5E" w:rsidRDefault="002B7D83" w:rsidP="002B7D83">
      <w:pPr>
        <w:pStyle w:val="ListParagraph"/>
        <w:numPr>
          <w:ilvl w:val="0"/>
          <w:numId w:val="32"/>
        </w:numPr>
        <w:rPr>
          <w:rFonts w:cs="Arial"/>
          <w:szCs w:val="24"/>
        </w:rPr>
      </w:pPr>
      <w:r w:rsidRPr="00321B5E">
        <w:rPr>
          <w:rFonts w:cs="Arial"/>
          <w:szCs w:val="24"/>
        </w:rPr>
        <w:t>The LIEAP Block Grant 2017/2018 Allocation Plan and attachments thereto indicating the 2018 Federal Poverty Guidelines.</w:t>
      </w:r>
    </w:p>
    <w:p w:rsidR="002B7D83" w:rsidRPr="00321B5E" w:rsidRDefault="002B7D83" w:rsidP="001A4E0D">
      <w:pPr>
        <w:rPr>
          <w:rFonts w:cs="Arial"/>
          <w:szCs w:val="24"/>
        </w:rPr>
      </w:pPr>
    </w:p>
    <w:p w:rsidR="002B7D83" w:rsidRPr="00321B5E" w:rsidRDefault="00DF5075" w:rsidP="00DF5075">
      <w:pPr>
        <w:rPr>
          <w:rFonts w:cs="Arial"/>
          <w:szCs w:val="24"/>
        </w:rPr>
      </w:pPr>
      <w:r w:rsidRPr="00321B5E">
        <w:rPr>
          <w:rFonts w:cs="Arial"/>
          <w:szCs w:val="24"/>
        </w:rPr>
        <w:tab/>
      </w:r>
      <w:r w:rsidR="0029261F" w:rsidRPr="00321B5E">
        <w:rPr>
          <w:rFonts w:cs="Arial"/>
          <w:szCs w:val="24"/>
        </w:rPr>
        <w:t xml:space="preserve">A noticed technical meeting was </w:t>
      </w:r>
      <w:r w:rsidRPr="00321B5E">
        <w:rPr>
          <w:rFonts w:cs="Arial"/>
          <w:szCs w:val="24"/>
        </w:rPr>
        <w:t xml:space="preserve">held </w:t>
      </w:r>
      <w:r w:rsidR="002B7D83" w:rsidRPr="00321B5E">
        <w:rPr>
          <w:rFonts w:cs="Arial"/>
          <w:szCs w:val="24"/>
        </w:rPr>
        <w:t xml:space="preserve">on February 21, 2019.  </w:t>
      </w:r>
      <w:r w:rsidR="00717CB4" w:rsidRPr="00321B5E">
        <w:rPr>
          <w:rFonts w:cs="Arial"/>
          <w:szCs w:val="24"/>
        </w:rPr>
        <w:t>On February 7, 2019, the Authority issued a</w:t>
      </w:r>
      <w:r w:rsidR="002B7D83" w:rsidRPr="00321B5E">
        <w:rPr>
          <w:rFonts w:cs="Arial"/>
          <w:szCs w:val="24"/>
        </w:rPr>
        <w:t xml:space="preserve"> Revised Notice of Proceeding, </w:t>
      </w:r>
      <w:r w:rsidR="00717CB4" w:rsidRPr="00321B5E">
        <w:rPr>
          <w:rFonts w:cs="Arial"/>
          <w:szCs w:val="24"/>
        </w:rPr>
        <w:t xml:space="preserve">for the purpose of </w:t>
      </w:r>
      <w:r w:rsidR="002B7D83" w:rsidRPr="00321B5E">
        <w:rPr>
          <w:rFonts w:cs="Arial"/>
          <w:szCs w:val="24"/>
        </w:rPr>
        <w:t>revis</w:t>
      </w:r>
      <w:r w:rsidR="00717CB4" w:rsidRPr="00321B5E">
        <w:rPr>
          <w:rFonts w:cs="Arial"/>
          <w:szCs w:val="24"/>
        </w:rPr>
        <w:t>ing</w:t>
      </w:r>
      <w:r w:rsidR="002B7D83" w:rsidRPr="00321B5E">
        <w:rPr>
          <w:rFonts w:cs="Arial"/>
          <w:szCs w:val="24"/>
        </w:rPr>
        <w:t xml:space="preserve"> the existing service list with additional Participants.  By Revised Notice of Admitted Evidence dated June 14, 2019, the Authority incorporated into the record of this proceeding the following documents contained in Docket No. 06-10-22, </w:t>
      </w:r>
      <w:r w:rsidR="002B7D83" w:rsidRPr="00321B5E">
        <w:rPr>
          <w:rFonts w:cs="Arial"/>
          <w:szCs w:val="24"/>
          <w:u w:val="single"/>
        </w:rPr>
        <w:t>PURA Monitoring of the State of Competition of the Electric Industry</w:t>
      </w:r>
      <w:r w:rsidR="008F5BDC" w:rsidRPr="00321B5E">
        <w:rPr>
          <w:rFonts w:cs="Arial"/>
          <w:szCs w:val="24"/>
        </w:rPr>
        <w:t>:</w:t>
      </w:r>
    </w:p>
    <w:p w:rsidR="008F5BDC" w:rsidRPr="00321B5E" w:rsidRDefault="008F5BDC" w:rsidP="001A4E0D">
      <w:pPr>
        <w:rPr>
          <w:rFonts w:cs="Arial"/>
          <w:szCs w:val="24"/>
        </w:rPr>
      </w:pPr>
    </w:p>
    <w:p w:rsidR="008F5BDC" w:rsidRPr="00321B5E" w:rsidRDefault="008F5BDC" w:rsidP="008F5BDC">
      <w:pPr>
        <w:pStyle w:val="ListParagraph"/>
        <w:numPr>
          <w:ilvl w:val="0"/>
          <w:numId w:val="33"/>
        </w:numPr>
        <w:rPr>
          <w:rFonts w:cs="Arial"/>
          <w:szCs w:val="24"/>
        </w:rPr>
      </w:pPr>
      <w:r w:rsidRPr="00321B5E">
        <w:rPr>
          <w:rFonts w:cs="Arial"/>
          <w:szCs w:val="24"/>
        </w:rPr>
        <w:t>January 2016 through May 2019 monthly compliance reports filed by Eversource Energy entitled “Monthly Competition Report”; and</w:t>
      </w:r>
    </w:p>
    <w:p w:rsidR="008F5BDC" w:rsidRPr="00321B5E" w:rsidRDefault="008F5BDC" w:rsidP="001A4E0D">
      <w:pPr>
        <w:rPr>
          <w:rFonts w:cs="Arial"/>
          <w:szCs w:val="24"/>
        </w:rPr>
      </w:pPr>
    </w:p>
    <w:p w:rsidR="008F5BDC" w:rsidRPr="00321B5E" w:rsidRDefault="008F5BDC" w:rsidP="008F5BDC">
      <w:pPr>
        <w:pStyle w:val="ListParagraph"/>
        <w:numPr>
          <w:ilvl w:val="0"/>
          <w:numId w:val="33"/>
        </w:numPr>
        <w:rPr>
          <w:rFonts w:cs="Arial"/>
          <w:szCs w:val="24"/>
        </w:rPr>
      </w:pPr>
      <w:r w:rsidRPr="00321B5E">
        <w:rPr>
          <w:rFonts w:cs="Arial"/>
          <w:szCs w:val="24"/>
        </w:rPr>
        <w:lastRenderedPageBreak/>
        <w:t>January 2016 through May 2019 monthly compliance reports filed by UI Holdings Corp. entitled “Monthly ATSO Switches to Alternate Suppliers Report” and “Monthly Switches to Alternate Suppliers Report”.</w:t>
      </w:r>
    </w:p>
    <w:p w:rsidR="008F5BDC" w:rsidRPr="00321B5E" w:rsidRDefault="008F5BDC" w:rsidP="001A4E0D">
      <w:pPr>
        <w:rPr>
          <w:rFonts w:cs="Arial"/>
          <w:szCs w:val="24"/>
        </w:rPr>
      </w:pPr>
    </w:p>
    <w:p w:rsidR="008F5BDC" w:rsidRPr="00321B5E" w:rsidRDefault="008F5BDC" w:rsidP="001A4E0D">
      <w:pPr>
        <w:rPr>
          <w:rFonts w:cs="Arial"/>
          <w:szCs w:val="24"/>
        </w:rPr>
      </w:pPr>
      <w:r w:rsidRPr="00321B5E">
        <w:rPr>
          <w:rFonts w:cs="Arial"/>
          <w:szCs w:val="24"/>
        </w:rPr>
        <w:tab/>
        <w:t xml:space="preserve">By Notice of Hearing </w:t>
      </w:r>
      <w:r w:rsidR="005A35AF" w:rsidRPr="00321B5E">
        <w:rPr>
          <w:rFonts w:cs="Arial"/>
          <w:szCs w:val="24"/>
        </w:rPr>
        <w:t xml:space="preserve">dated </w:t>
      </w:r>
      <w:r w:rsidRPr="00321B5E">
        <w:rPr>
          <w:rFonts w:cs="Arial"/>
          <w:szCs w:val="24"/>
        </w:rPr>
        <w:t xml:space="preserve">July 9, 2019, the Authority conducted hearings at the office of the </w:t>
      </w:r>
      <w:r w:rsidR="00DF5075" w:rsidRPr="00321B5E">
        <w:rPr>
          <w:rFonts w:cs="Arial"/>
          <w:szCs w:val="24"/>
        </w:rPr>
        <w:t xml:space="preserve">Authority </w:t>
      </w:r>
      <w:r w:rsidRPr="00321B5E">
        <w:rPr>
          <w:rFonts w:cs="Arial"/>
          <w:szCs w:val="24"/>
        </w:rPr>
        <w:t xml:space="preserve">on July 16, 2019 and July 17, 2019.  </w:t>
      </w:r>
      <w:r w:rsidR="005D2B4D" w:rsidRPr="00321B5E">
        <w:rPr>
          <w:rFonts w:cs="Arial"/>
          <w:szCs w:val="24"/>
        </w:rPr>
        <w:t>On August 15, 2019, the Authority</w:t>
      </w:r>
      <w:r w:rsidR="00652540" w:rsidRPr="00321B5E">
        <w:rPr>
          <w:rFonts w:cs="Arial"/>
          <w:szCs w:val="24"/>
        </w:rPr>
        <w:t xml:space="preserve"> conducted a Late Filed Exhibit</w:t>
      </w:r>
      <w:r w:rsidR="005D2B4D" w:rsidRPr="00321B5E">
        <w:rPr>
          <w:rFonts w:cs="Arial"/>
          <w:szCs w:val="24"/>
        </w:rPr>
        <w:t xml:space="preserve"> Hearing at </w:t>
      </w:r>
      <w:r w:rsidR="00652540" w:rsidRPr="00321B5E">
        <w:rPr>
          <w:rFonts w:cs="Arial"/>
          <w:szCs w:val="24"/>
        </w:rPr>
        <w:t>its office</w:t>
      </w:r>
      <w:r w:rsidR="005D2B4D" w:rsidRPr="00321B5E">
        <w:rPr>
          <w:rFonts w:cs="Arial"/>
          <w:szCs w:val="24"/>
        </w:rPr>
        <w:t>.</w:t>
      </w:r>
      <w:r w:rsidR="00652540" w:rsidRPr="00321B5E">
        <w:rPr>
          <w:rFonts w:cs="Arial"/>
          <w:szCs w:val="24"/>
        </w:rPr>
        <w:t xml:space="preserve">  The </w:t>
      </w:r>
      <w:r w:rsidR="00F570CD" w:rsidRPr="00321B5E">
        <w:rPr>
          <w:rFonts w:cs="Arial"/>
          <w:szCs w:val="24"/>
        </w:rPr>
        <w:t>Authority</w:t>
      </w:r>
      <w:r w:rsidR="00652540" w:rsidRPr="00321B5E">
        <w:rPr>
          <w:rFonts w:cs="Arial"/>
          <w:szCs w:val="24"/>
        </w:rPr>
        <w:t xml:space="preserve"> issued a proposed Final Decision in this matter on </w:t>
      </w:r>
      <w:r w:rsidR="00E06CFA" w:rsidRPr="00321B5E">
        <w:rPr>
          <w:rFonts w:cs="Arial"/>
          <w:szCs w:val="24"/>
        </w:rPr>
        <w:t>December 2, 2019</w:t>
      </w:r>
      <w:r w:rsidR="00652540" w:rsidRPr="00321B5E">
        <w:rPr>
          <w:rFonts w:cs="Arial"/>
          <w:szCs w:val="24"/>
        </w:rPr>
        <w:t>.  All Participants were provided the opportunity to submit Written Exceptions and present Oral Arguments on the proposed Final Decision.</w:t>
      </w:r>
    </w:p>
    <w:p w:rsidR="00161A1A" w:rsidRPr="00321B5E" w:rsidRDefault="00161A1A" w:rsidP="001A4E0D">
      <w:pPr>
        <w:rPr>
          <w:rFonts w:cs="Arial"/>
          <w:szCs w:val="24"/>
        </w:rPr>
      </w:pPr>
    </w:p>
    <w:p w:rsidR="001A4E0D" w:rsidRPr="00321B5E" w:rsidRDefault="001A4E0D" w:rsidP="001A4E0D">
      <w:pPr>
        <w:pStyle w:val="Heading2"/>
        <w:numPr>
          <w:ilvl w:val="1"/>
          <w:numId w:val="29"/>
        </w:numPr>
        <w:rPr>
          <w:rFonts w:cs="Arial"/>
          <w:szCs w:val="24"/>
        </w:rPr>
      </w:pPr>
      <w:bookmarkStart w:id="18" w:name="_Toc26174986"/>
      <w:r w:rsidRPr="00321B5E">
        <w:rPr>
          <w:rFonts w:cs="Arial"/>
          <w:szCs w:val="24"/>
        </w:rPr>
        <w:t>Participants</w:t>
      </w:r>
      <w:bookmarkEnd w:id="18"/>
    </w:p>
    <w:p w:rsidR="001A4E0D" w:rsidRPr="00321B5E" w:rsidRDefault="001A4E0D" w:rsidP="001A4E0D">
      <w:pPr>
        <w:rPr>
          <w:rFonts w:cs="Arial"/>
          <w:szCs w:val="24"/>
        </w:rPr>
      </w:pPr>
    </w:p>
    <w:p w:rsidR="001A4E0D" w:rsidRPr="00321B5E" w:rsidRDefault="001A4E0D" w:rsidP="001A4E0D">
      <w:pPr>
        <w:rPr>
          <w:rFonts w:cs="Arial"/>
          <w:szCs w:val="24"/>
        </w:rPr>
      </w:pPr>
      <w:r w:rsidRPr="00321B5E">
        <w:rPr>
          <w:rFonts w:cs="Arial"/>
          <w:szCs w:val="24"/>
        </w:rPr>
        <w:tab/>
      </w:r>
      <w:r w:rsidR="006F7A4F" w:rsidRPr="00321B5E">
        <w:rPr>
          <w:rFonts w:cs="Arial"/>
          <w:szCs w:val="24"/>
        </w:rPr>
        <w:t xml:space="preserve">See attached service list </w:t>
      </w:r>
      <w:r w:rsidR="00372E42" w:rsidRPr="00321B5E">
        <w:rPr>
          <w:rFonts w:cs="Arial"/>
          <w:szCs w:val="24"/>
        </w:rPr>
        <w:t xml:space="preserve">identified as Appendix A </w:t>
      </w:r>
      <w:r w:rsidR="006F7A4F" w:rsidRPr="00321B5E">
        <w:rPr>
          <w:rFonts w:cs="Arial"/>
          <w:szCs w:val="24"/>
        </w:rPr>
        <w:t>for the full list of docket participants.</w:t>
      </w:r>
    </w:p>
    <w:p w:rsidR="00161A1A" w:rsidRPr="00321B5E" w:rsidRDefault="00161A1A" w:rsidP="001A4E0D">
      <w:pPr>
        <w:rPr>
          <w:rFonts w:cs="Arial"/>
          <w:szCs w:val="24"/>
        </w:rPr>
      </w:pPr>
    </w:p>
    <w:p w:rsidR="001A4E0D" w:rsidRPr="00321B5E" w:rsidRDefault="001A4E0D" w:rsidP="001A4E0D">
      <w:pPr>
        <w:pStyle w:val="Heading2"/>
        <w:numPr>
          <w:ilvl w:val="1"/>
          <w:numId w:val="29"/>
        </w:numPr>
        <w:rPr>
          <w:rFonts w:cs="Arial"/>
          <w:szCs w:val="24"/>
        </w:rPr>
      </w:pPr>
      <w:bookmarkStart w:id="19" w:name="_Toc26174987"/>
      <w:r w:rsidRPr="00321B5E">
        <w:rPr>
          <w:rFonts w:cs="Arial"/>
          <w:szCs w:val="24"/>
        </w:rPr>
        <w:t>Public Comment</w:t>
      </w:r>
      <w:bookmarkEnd w:id="19"/>
    </w:p>
    <w:p w:rsidR="001A4E0D" w:rsidRPr="00321B5E" w:rsidRDefault="001A4E0D" w:rsidP="001A4E0D">
      <w:pPr>
        <w:rPr>
          <w:rFonts w:cs="Arial"/>
          <w:szCs w:val="24"/>
        </w:rPr>
      </w:pPr>
    </w:p>
    <w:p w:rsidR="001A4E0D" w:rsidRPr="00321B5E" w:rsidRDefault="00BC52FD" w:rsidP="001A4E0D">
      <w:pPr>
        <w:rPr>
          <w:rFonts w:cs="Arial"/>
          <w:szCs w:val="24"/>
        </w:rPr>
      </w:pPr>
      <w:r w:rsidRPr="00321B5E">
        <w:rPr>
          <w:rFonts w:cs="Arial"/>
          <w:szCs w:val="24"/>
        </w:rPr>
        <w:tab/>
        <w:t xml:space="preserve">The Authority received </w:t>
      </w:r>
      <w:r w:rsidR="00E270F3" w:rsidRPr="00321B5E">
        <w:rPr>
          <w:rFonts w:cs="Arial"/>
          <w:szCs w:val="24"/>
        </w:rPr>
        <w:t xml:space="preserve">one letter concerning the proceeding.  Operation Fuel, a ratepayer advocate for utility customers in Connecticut, </w:t>
      </w:r>
      <w:r w:rsidR="003A7E5A" w:rsidRPr="00321B5E">
        <w:rPr>
          <w:rFonts w:cs="Arial"/>
          <w:szCs w:val="24"/>
        </w:rPr>
        <w:t xml:space="preserve">supported the positions of the </w:t>
      </w:r>
      <w:r w:rsidR="00A94224" w:rsidRPr="00321B5E">
        <w:rPr>
          <w:rFonts w:cs="Arial"/>
          <w:szCs w:val="24"/>
        </w:rPr>
        <w:t>Office of Consumer Counsel (</w:t>
      </w:r>
      <w:r w:rsidR="003A7E5A" w:rsidRPr="00321B5E">
        <w:rPr>
          <w:rFonts w:cs="Arial"/>
          <w:szCs w:val="24"/>
        </w:rPr>
        <w:t>OCC</w:t>
      </w:r>
      <w:r w:rsidR="00A94224" w:rsidRPr="00321B5E">
        <w:rPr>
          <w:rFonts w:cs="Arial"/>
          <w:szCs w:val="24"/>
        </w:rPr>
        <w:t>)</w:t>
      </w:r>
      <w:r w:rsidR="003A7E5A" w:rsidRPr="00321B5E">
        <w:rPr>
          <w:rFonts w:cs="Arial"/>
          <w:szCs w:val="24"/>
        </w:rPr>
        <w:t xml:space="preserve">, </w:t>
      </w:r>
      <w:r w:rsidR="00A94224" w:rsidRPr="00321B5E">
        <w:rPr>
          <w:rFonts w:cs="Arial"/>
          <w:szCs w:val="24"/>
        </w:rPr>
        <w:t>the Department of Energy and Environmental Protection (</w:t>
      </w:r>
      <w:r w:rsidR="003A7E5A" w:rsidRPr="00321B5E">
        <w:rPr>
          <w:rFonts w:cs="Arial"/>
          <w:szCs w:val="24"/>
        </w:rPr>
        <w:t>DEEP</w:t>
      </w:r>
      <w:r w:rsidR="00A94224" w:rsidRPr="00321B5E">
        <w:rPr>
          <w:rFonts w:cs="Arial"/>
          <w:szCs w:val="24"/>
        </w:rPr>
        <w:t>)</w:t>
      </w:r>
      <w:r w:rsidR="003A7E5A" w:rsidRPr="00321B5E">
        <w:rPr>
          <w:rFonts w:cs="Arial"/>
          <w:szCs w:val="24"/>
        </w:rPr>
        <w:t xml:space="preserve"> and the</w:t>
      </w:r>
      <w:r w:rsidR="00A94224" w:rsidRPr="00321B5E">
        <w:rPr>
          <w:rFonts w:cs="Arial"/>
          <w:szCs w:val="24"/>
        </w:rPr>
        <w:t xml:space="preserve"> Office of the Attorney General (</w:t>
      </w:r>
      <w:r w:rsidR="003A7E5A" w:rsidRPr="00321B5E">
        <w:rPr>
          <w:rFonts w:cs="Arial"/>
          <w:szCs w:val="24"/>
        </w:rPr>
        <w:t>AG</w:t>
      </w:r>
      <w:r w:rsidR="00A94224" w:rsidRPr="00321B5E">
        <w:rPr>
          <w:rFonts w:cs="Arial"/>
          <w:szCs w:val="24"/>
        </w:rPr>
        <w:t>)</w:t>
      </w:r>
      <w:r w:rsidR="003A7E5A" w:rsidRPr="00321B5E">
        <w:rPr>
          <w:rFonts w:cs="Arial"/>
          <w:szCs w:val="24"/>
        </w:rPr>
        <w:t>, that hardship customers be placed on standard service.  While Operation Fuel supports the availability of customer choice for electric generation service, it agrees that hardship customers are more likely to pay more for their electricity due to a lack of education and examination of their bills on a month-to-month basis.  Operation Fuel also stressed that there exists an opportunity to help the low</w:t>
      </w:r>
      <w:r w:rsidR="00DF5075" w:rsidRPr="00321B5E">
        <w:rPr>
          <w:rFonts w:cs="Arial"/>
          <w:szCs w:val="24"/>
        </w:rPr>
        <w:t>-</w:t>
      </w:r>
      <w:r w:rsidR="003A7E5A" w:rsidRPr="00321B5E">
        <w:rPr>
          <w:rFonts w:cs="Arial"/>
          <w:szCs w:val="24"/>
        </w:rPr>
        <w:t xml:space="preserve"> and moderate</w:t>
      </w:r>
      <w:r w:rsidR="00DF5075" w:rsidRPr="00321B5E">
        <w:rPr>
          <w:rFonts w:cs="Arial"/>
          <w:szCs w:val="24"/>
        </w:rPr>
        <w:t>-</w:t>
      </w:r>
      <w:r w:rsidR="003A7E5A" w:rsidRPr="00321B5E">
        <w:rPr>
          <w:rFonts w:cs="Arial"/>
          <w:szCs w:val="24"/>
        </w:rPr>
        <w:t>income consumer by evaluating current education programs about the competitive supply market and/or the creation of an energy aggregation program that would purchase power at lower prices in the supplier marketplace.</w:t>
      </w:r>
    </w:p>
    <w:p w:rsidR="00161A1A" w:rsidRPr="00321B5E" w:rsidRDefault="00161A1A" w:rsidP="001A4E0D">
      <w:pPr>
        <w:rPr>
          <w:rFonts w:cs="Arial"/>
          <w:szCs w:val="24"/>
        </w:rPr>
      </w:pPr>
    </w:p>
    <w:p w:rsidR="001A4E0D" w:rsidRPr="00321B5E" w:rsidRDefault="001A4E0D" w:rsidP="001A4E0D">
      <w:pPr>
        <w:pStyle w:val="Heading1"/>
        <w:numPr>
          <w:ilvl w:val="0"/>
          <w:numId w:val="29"/>
        </w:numPr>
        <w:tabs>
          <w:tab w:val="clear" w:pos="360"/>
        </w:tabs>
        <w:rPr>
          <w:rFonts w:cs="Arial"/>
          <w:szCs w:val="24"/>
        </w:rPr>
      </w:pPr>
      <w:bookmarkStart w:id="20" w:name="_Toc26174988"/>
      <w:r w:rsidRPr="00321B5E">
        <w:rPr>
          <w:rFonts w:cs="Arial"/>
          <w:szCs w:val="24"/>
        </w:rPr>
        <w:t>Positions of Parties</w:t>
      </w:r>
      <w:bookmarkEnd w:id="20"/>
    </w:p>
    <w:p w:rsidR="00A94224" w:rsidRPr="00321B5E" w:rsidRDefault="00A94224" w:rsidP="001A4E0D">
      <w:pPr>
        <w:rPr>
          <w:rFonts w:cs="Arial"/>
          <w:szCs w:val="24"/>
        </w:rPr>
      </w:pPr>
    </w:p>
    <w:p w:rsidR="00372E42" w:rsidRPr="00321B5E" w:rsidRDefault="00372E42" w:rsidP="00372E42">
      <w:pPr>
        <w:pStyle w:val="Heading2"/>
        <w:rPr>
          <w:rFonts w:cs="Arial"/>
          <w:szCs w:val="24"/>
        </w:rPr>
      </w:pPr>
      <w:bookmarkStart w:id="21" w:name="_Toc26174989"/>
      <w:r w:rsidRPr="00321B5E">
        <w:rPr>
          <w:rFonts w:cs="Arial"/>
          <w:szCs w:val="24"/>
        </w:rPr>
        <w:t>OCC</w:t>
      </w:r>
      <w:bookmarkEnd w:id="21"/>
    </w:p>
    <w:p w:rsidR="00372E42" w:rsidRPr="00321B5E" w:rsidRDefault="00372E42" w:rsidP="001A4E0D">
      <w:pPr>
        <w:rPr>
          <w:rFonts w:cs="Arial"/>
          <w:szCs w:val="24"/>
        </w:rPr>
      </w:pPr>
    </w:p>
    <w:p w:rsidR="00980933" w:rsidRPr="00321B5E" w:rsidRDefault="00155098" w:rsidP="001A4E0D">
      <w:pPr>
        <w:rPr>
          <w:rFonts w:cs="Arial"/>
          <w:szCs w:val="24"/>
        </w:rPr>
      </w:pPr>
      <w:r w:rsidRPr="00321B5E">
        <w:rPr>
          <w:rFonts w:cs="Arial"/>
          <w:szCs w:val="24"/>
        </w:rPr>
        <w:tab/>
      </w:r>
      <w:r w:rsidR="00281B7F" w:rsidRPr="00321B5E">
        <w:rPr>
          <w:rFonts w:cs="Arial"/>
          <w:szCs w:val="24"/>
        </w:rPr>
        <w:t>By way of Pre</w:t>
      </w:r>
      <w:r w:rsidR="00DF5075" w:rsidRPr="00321B5E">
        <w:rPr>
          <w:rFonts w:cs="Arial"/>
          <w:szCs w:val="24"/>
        </w:rPr>
        <w:t>-</w:t>
      </w:r>
      <w:r w:rsidR="00281B7F" w:rsidRPr="00321B5E">
        <w:rPr>
          <w:rFonts w:cs="Arial"/>
          <w:szCs w:val="24"/>
        </w:rPr>
        <w:t>filed Testimony submitted in this proceeding</w:t>
      </w:r>
      <w:r w:rsidR="00980933" w:rsidRPr="00321B5E">
        <w:rPr>
          <w:rFonts w:cs="Arial"/>
          <w:szCs w:val="24"/>
        </w:rPr>
        <w:t>,</w:t>
      </w:r>
      <w:r w:rsidR="00281B7F" w:rsidRPr="00321B5E">
        <w:rPr>
          <w:rFonts w:cs="Arial"/>
          <w:szCs w:val="24"/>
        </w:rPr>
        <w:t xml:space="preserve"> the OCC </w:t>
      </w:r>
      <w:r w:rsidR="00A02D6C" w:rsidRPr="00321B5E">
        <w:rPr>
          <w:rFonts w:cs="Arial"/>
          <w:szCs w:val="24"/>
        </w:rPr>
        <w:t xml:space="preserve">seeks </w:t>
      </w:r>
      <w:r w:rsidR="00281B7F" w:rsidRPr="00321B5E">
        <w:rPr>
          <w:rFonts w:cs="Arial"/>
          <w:szCs w:val="24"/>
        </w:rPr>
        <w:t xml:space="preserve">to illustrate how hardship customers </w:t>
      </w:r>
      <w:r w:rsidR="00980933" w:rsidRPr="00321B5E">
        <w:rPr>
          <w:rFonts w:cs="Arial"/>
          <w:szCs w:val="24"/>
        </w:rPr>
        <w:t>have been negatively impacted by third-party electric suppliers.</w:t>
      </w:r>
      <w:r w:rsidR="00E41768" w:rsidRPr="00321B5E">
        <w:rPr>
          <w:rFonts w:cs="Arial"/>
          <w:szCs w:val="24"/>
        </w:rPr>
        <w:t xml:space="preserve">  In particular, the OCC describe</w:t>
      </w:r>
      <w:r w:rsidR="00A02D6C" w:rsidRPr="00321B5E">
        <w:rPr>
          <w:rFonts w:cs="Arial"/>
          <w:szCs w:val="24"/>
        </w:rPr>
        <w:t>s</w:t>
      </w:r>
      <w:r w:rsidR="00E41768" w:rsidRPr="00321B5E">
        <w:rPr>
          <w:rFonts w:cs="Arial"/>
          <w:szCs w:val="24"/>
        </w:rPr>
        <w:t xml:space="preserve"> how hardship customers </w:t>
      </w:r>
      <w:r w:rsidR="0055289F" w:rsidRPr="00321B5E">
        <w:rPr>
          <w:rFonts w:cs="Arial"/>
          <w:szCs w:val="24"/>
        </w:rPr>
        <w:t xml:space="preserve">purchasing electricity from third-party electric suppliers </w:t>
      </w:r>
      <w:r w:rsidR="00E41768" w:rsidRPr="00321B5E">
        <w:rPr>
          <w:rFonts w:cs="Arial"/>
          <w:szCs w:val="24"/>
        </w:rPr>
        <w:t>have been subject to financial harm by additional costs of approximately $7</w:t>
      </w:r>
      <w:r w:rsidR="0085638F" w:rsidRPr="00321B5E">
        <w:rPr>
          <w:rFonts w:cs="Arial"/>
          <w:szCs w:val="24"/>
        </w:rPr>
        <w:t>.</w:t>
      </w:r>
      <w:r w:rsidR="00E41768" w:rsidRPr="00321B5E">
        <w:rPr>
          <w:rFonts w:cs="Arial"/>
          <w:szCs w:val="24"/>
        </w:rPr>
        <w:t>2</w:t>
      </w:r>
      <w:r w:rsidR="0085638F" w:rsidRPr="00321B5E">
        <w:rPr>
          <w:rFonts w:cs="Arial"/>
          <w:szCs w:val="24"/>
        </w:rPr>
        <w:t xml:space="preserve"> million</w:t>
      </w:r>
      <w:r w:rsidR="00E41768" w:rsidRPr="00321B5E">
        <w:rPr>
          <w:rFonts w:cs="Arial"/>
          <w:szCs w:val="24"/>
        </w:rPr>
        <w:t xml:space="preserve"> as compared to purchasing standard service</w:t>
      </w:r>
      <w:r w:rsidR="0072716D" w:rsidRPr="00321B5E">
        <w:rPr>
          <w:rFonts w:cs="Arial"/>
          <w:szCs w:val="24"/>
        </w:rPr>
        <w:t xml:space="preserve"> for the two years studied</w:t>
      </w:r>
      <w:r w:rsidR="00E41768" w:rsidRPr="00321B5E">
        <w:rPr>
          <w:rFonts w:cs="Arial"/>
          <w:szCs w:val="24"/>
        </w:rPr>
        <w:t>.</w:t>
      </w:r>
      <w:r w:rsidR="001D4B10" w:rsidRPr="00321B5E">
        <w:rPr>
          <w:rStyle w:val="FootnoteReference"/>
          <w:rFonts w:cs="Arial"/>
          <w:sz w:val="24"/>
          <w:szCs w:val="24"/>
        </w:rPr>
        <w:footnoteReference w:id="1"/>
      </w:r>
      <w:r w:rsidR="00E41768" w:rsidRPr="00321B5E">
        <w:rPr>
          <w:rFonts w:cs="Arial"/>
          <w:szCs w:val="24"/>
        </w:rPr>
        <w:t xml:space="preserve">  Baldwin </w:t>
      </w:r>
      <w:r w:rsidR="0055289F" w:rsidRPr="00321B5E">
        <w:rPr>
          <w:rFonts w:cs="Arial"/>
          <w:szCs w:val="24"/>
        </w:rPr>
        <w:t>Pre</w:t>
      </w:r>
      <w:r w:rsidR="00DF5075" w:rsidRPr="00321B5E">
        <w:rPr>
          <w:rFonts w:cs="Arial"/>
          <w:szCs w:val="24"/>
        </w:rPr>
        <w:t>-</w:t>
      </w:r>
      <w:r w:rsidR="0055289F" w:rsidRPr="00321B5E">
        <w:rPr>
          <w:rFonts w:cs="Arial"/>
          <w:szCs w:val="24"/>
        </w:rPr>
        <w:t>filed Testimony (PFT)</w:t>
      </w:r>
      <w:r w:rsidR="00E41768" w:rsidRPr="00321B5E">
        <w:rPr>
          <w:rFonts w:cs="Arial"/>
          <w:szCs w:val="24"/>
        </w:rPr>
        <w:t xml:space="preserve">, p.4.  </w:t>
      </w:r>
      <w:r w:rsidR="00363DC8" w:rsidRPr="00321B5E">
        <w:rPr>
          <w:rFonts w:cs="Arial"/>
          <w:szCs w:val="24"/>
        </w:rPr>
        <w:t>The OCC calculate</w:t>
      </w:r>
      <w:r w:rsidR="00A02D6C" w:rsidRPr="00321B5E">
        <w:rPr>
          <w:rFonts w:cs="Arial"/>
          <w:szCs w:val="24"/>
        </w:rPr>
        <w:t>s</w:t>
      </w:r>
      <w:r w:rsidR="00363DC8" w:rsidRPr="00321B5E">
        <w:rPr>
          <w:rFonts w:cs="Arial"/>
          <w:szCs w:val="24"/>
        </w:rPr>
        <w:t xml:space="preserve"> this figure into a net average loss of $143 per hardship customer</w:t>
      </w:r>
      <w:r w:rsidR="0072716D" w:rsidRPr="00321B5E">
        <w:rPr>
          <w:rFonts w:cs="Arial"/>
          <w:szCs w:val="24"/>
        </w:rPr>
        <w:t xml:space="preserve"> for the two years</w:t>
      </w:r>
      <w:r w:rsidR="00363DC8" w:rsidRPr="00321B5E">
        <w:rPr>
          <w:rFonts w:cs="Arial"/>
          <w:szCs w:val="24"/>
        </w:rPr>
        <w:t>.  Tr. 7/16/19, p. 183.  The OCC also claim</w:t>
      </w:r>
      <w:r w:rsidR="00A02D6C" w:rsidRPr="00321B5E">
        <w:rPr>
          <w:rFonts w:cs="Arial"/>
          <w:szCs w:val="24"/>
        </w:rPr>
        <w:t>s</w:t>
      </w:r>
      <w:r w:rsidR="00363DC8" w:rsidRPr="00321B5E">
        <w:rPr>
          <w:rFonts w:cs="Arial"/>
          <w:szCs w:val="24"/>
        </w:rPr>
        <w:t xml:space="preserve"> that on a statewide basis, only 22% of hardship customers had savings compared to the bill that they would have received had they been on standard service.  </w:t>
      </w:r>
      <w:r w:rsidR="0055289F" w:rsidRPr="00321B5E">
        <w:rPr>
          <w:rFonts w:cs="Arial"/>
          <w:szCs w:val="24"/>
        </w:rPr>
        <w:t xml:space="preserve">Baldwin PFT, p. 26.  </w:t>
      </w:r>
      <w:r w:rsidR="00363DC8" w:rsidRPr="00321B5E">
        <w:rPr>
          <w:rFonts w:cs="Arial"/>
          <w:szCs w:val="24"/>
        </w:rPr>
        <w:t>The OCC compare</w:t>
      </w:r>
      <w:r w:rsidR="00A02D6C" w:rsidRPr="00321B5E">
        <w:rPr>
          <w:rFonts w:cs="Arial"/>
          <w:szCs w:val="24"/>
        </w:rPr>
        <w:t>s</w:t>
      </w:r>
      <w:r w:rsidR="00363DC8" w:rsidRPr="00321B5E">
        <w:rPr>
          <w:rFonts w:cs="Arial"/>
          <w:szCs w:val="24"/>
        </w:rPr>
        <w:t xml:space="preserve"> this figure to </w:t>
      </w:r>
      <w:r w:rsidR="00363DC8" w:rsidRPr="00321B5E">
        <w:rPr>
          <w:rFonts w:cs="Arial"/>
          <w:szCs w:val="24"/>
        </w:rPr>
        <w:lastRenderedPageBreak/>
        <w:t>the statewide total for non-hardship customers, where 38% of the customers</w:t>
      </w:r>
      <w:r w:rsidR="00010C25" w:rsidRPr="00321B5E">
        <w:rPr>
          <w:rFonts w:cs="Arial"/>
          <w:szCs w:val="24"/>
        </w:rPr>
        <w:t xml:space="preserve"> received </w:t>
      </w:r>
      <w:r w:rsidR="00363DC8" w:rsidRPr="00321B5E">
        <w:rPr>
          <w:rFonts w:cs="Arial"/>
          <w:szCs w:val="24"/>
        </w:rPr>
        <w:t xml:space="preserve">bills that led to savings relative to standard service.  </w:t>
      </w:r>
      <w:r w:rsidR="0055289F" w:rsidRPr="00321B5E">
        <w:rPr>
          <w:rFonts w:cs="Arial"/>
          <w:i/>
          <w:szCs w:val="24"/>
        </w:rPr>
        <w:t>Id</w:t>
      </w:r>
      <w:r w:rsidR="00C25F80" w:rsidRPr="00321B5E">
        <w:rPr>
          <w:rFonts w:cs="Arial"/>
          <w:szCs w:val="24"/>
        </w:rPr>
        <w:t xml:space="preserve">.  </w:t>
      </w:r>
      <w:r w:rsidR="00D47359" w:rsidRPr="00321B5E">
        <w:rPr>
          <w:rFonts w:cs="Arial"/>
          <w:szCs w:val="24"/>
        </w:rPr>
        <w:t xml:space="preserve">It is the OCC’s position that the one-fifth of hardship customers who experienced some savings over its study period </w:t>
      </w:r>
      <w:proofErr w:type="gramStart"/>
      <w:r w:rsidR="00A02D6C" w:rsidRPr="00321B5E">
        <w:rPr>
          <w:rFonts w:cs="Arial"/>
          <w:szCs w:val="24"/>
        </w:rPr>
        <w:t>are</w:t>
      </w:r>
      <w:proofErr w:type="gramEnd"/>
      <w:r w:rsidR="00A02D6C" w:rsidRPr="00321B5E">
        <w:rPr>
          <w:rFonts w:cs="Arial"/>
          <w:szCs w:val="24"/>
        </w:rPr>
        <w:t xml:space="preserve"> </w:t>
      </w:r>
      <w:r w:rsidR="00D47359" w:rsidRPr="00321B5E">
        <w:rPr>
          <w:rFonts w:cs="Arial"/>
          <w:szCs w:val="24"/>
        </w:rPr>
        <w:t>profoundly outweighed by the remaining four-fifths of customers who instead consistently lost money.  OCC Brief, p. 5.</w:t>
      </w:r>
    </w:p>
    <w:p w:rsidR="00D47359" w:rsidRPr="00321B5E" w:rsidRDefault="00D47359" w:rsidP="001A4E0D">
      <w:pPr>
        <w:rPr>
          <w:rFonts w:cs="Arial"/>
          <w:szCs w:val="24"/>
        </w:rPr>
      </w:pPr>
    </w:p>
    <w:p w:rsidR="00D47359" w:rsidRPr="00321B5E" w:rsidRDefault="00A27CD0" w:rsidP="001A4E0D">
      <w:pPr>
        <w:rPr>
          <w:rFonts w:cs="Arial"/>
          <w:szCs w:val="24"/>
        </w:rPr>
      </w:pPr>
      <w:r w:rsidRPr="00321B5E">
        <w:rPr>
          <w:rFonts w:cs="Arial"/>
          <w:szCs w:val="24"/>
        </w:rPr>
        <w:tab/>
        <w:t xml:space="preserve">Along with this financial harm, the OCC also </w:t>
      </w:r>
      <w:r w:rsidR="00A02D6C" w:rsidRPr="00321B5E">
        <w:rPr>
          <w:rFonts w:cs="Arial"/>
          <w:szCs w:val="24"/>
        </w:rPr>
        <w:t xml:space="preserve">claims </w:t>
      </w:r>
      <w:r w:rsidRPr="00321B5E">
        <w:rPr>
          <w:rFonts w:cs="Arial"/>
          <w:szCs w:val="24"/>
        </w:rPr>
        <w:t xml:space="preserve">that hardship </w:t>
      </w:r>
      <w:r w:rsidR="00A02D6C" w:rsidRPr="00321B5E">
        <w:rPr>
          <w:rFonts w:cs="Arial"/>
          <w:szCs w:val="24"/>
        </w:rPr>
        <w:t xml:space="preserve">customers </w:t>
      </w:r>
      <w:r w:rsidR="00A421B8" w:rsidRPr="00321B5E">
        <w:rPr>
          <w:rFonts w:cs="Arial"/>
          <w:szCs w:val="24"/>
        </w:rPr>
        <w:t>participating</w:t>
      </w:r>
      <w:r w:rsidRPr="00321B5E">
        <w:rPr>
          <w:rFonts w:cs="Arial"/>
          <w:szCs w:val="24"/>
        </w:rPr>
        <w:t xml:space="preserve"> in the third-party supplier market </w:t>
      </w:r>
      <w:r w:rsidR="00A02D6C" w:rsidRPr="00321B5E">
        <w:rPr>
          <w:rFonts w:cs="Arial"/>
          <w:szCs w:val="24"/>
        </w:rPr>
        <w:t xml:space="preserve">have paid </w:t>
      </w:r>
      <w:r w:rsidRPr="00321B5E">
        <w:rPr>
          <w:rFonts w:cs="Arial"/>
          <w:szCs w:val="24"/>
        </w:rPr>
        <w:t xml:space="preserve">higher prices on a per kilowatt basis as compared to non-hardship customers.  </w:t>
      </w:r>
      <w:r w:rsidR="00AE2E06" w:rsidRPr="00321B5E">
        <w:rPr>
          <w:rFonts w:cs="Arial"/>
          <w:szCs w:val="24"/>
        </w:rPr>
        <w:t>The OCC’s study determine</w:t>
      </w:r>
      <w:r w:rsidR="00A02D6C" w:rsidRPr="00321B5E">
        <w:rPr>
          <w:rFonts w:cs="Arial"/>
          <w:szCs w:val="24"/>
        </w:rPr>
        <w:t>s</w:t>
      </w:r>
      <w:r w:rsidR="00AE2E06" w:rsidRPr="00321B5E">
        <w:rPr>
          <w:rFonts w:cs="Arial"/>
          <w:szCs w:val="24"/>
        </w:rPr>
        <w:t xml:space="preserve"> that on a non-adjusted basis </w:t>
      </w:r>
      <w:r w:rsidR="00A421B8" w:rsidRPr="00321B5E">
        <w:rPr>
          <w:rFonts w:cs="Arial"/>
          <w:szCs w:val="24"/>
        </w:rPr>
        <w:t>not accounting</w:t>
      </w:r>
      <w:r w:rsidR="00AE2E06" w:rsidRPr="00321B5E">
        <w:rPr>
          <w:rFonts w:cs="Arial"/>
          <w:szCs w:val="24"/>
        </w:rPr>
        <w:t xml:space="preserve"> for differing levels of average usage, hardship customers paid a premium on third-party generation supply </w:t>
      </w:r>
      <w:r w:rsidR="00A421B8" w:rsidRPr="00321B5E">
        <w:rPr>
          <w:rFonts w:cs="Arial"/>
          <w:szCs w:val="24"/>
        </w:rPr>
        <w:t xml:space="preserve">that </w:t>
      </w:r>
      <w:r w:rsidR="00AE2E06" w:rsidRPr="00321B5E">
        <w:rPr>
          <w:rFonts w:cs="Arial"/>
          <w:szCs w:val="24"/>
        </w:rPr>
        <w:t>was 69% greater than the non-hardship premium.  Baldwin PFT, p. 33</w:t>
      </w:r>
      <w:r w:rsidR="00A02D6C" w:rsidRPr="00321B5E">
        <w:rPr>
          <w:rFonts w:cs="Arial"/>
          <w:szCs w:val="24"/>
        </w:rPr>
        <w:t>-</w:t>
      </w:r>
      <w:r w:rsidR="00AE2E06" w:rsidRPr="00321B5E">
        <w:rPr>
          <w:rFonts w:cs="Arial"/>
          <w:szCs w:val="24"/>
        </w:rPr>
        <w:t>34, Table SMB-11.  The OCC also calculate</w:t>
      </w:r>
      <w:r w:rsidR="00A02D6C" w:rsidRPr="00321B5E">
        <w:rPr>
          <w:rFonts w:cs="Arial"/>
          <w:szCs w:val="24"/>
        </w:rPr>
        <w:t>s</w:t>
      </w:r>
      <w:r w:rsidR="00AE2E06" w:rsidRPr="00321B5E">
        <w:rPr>
          <w:rFonts w:cs="Arial"/>
          <w:szCs w:val="24"/>
        </w:rPr>
        <w:t xml:space="preserve"> that annual loss for hardship customers was 76% greater than compared to non-hardship customers - $148.26 to $88.33 – assuming the same usage for both customer types.  Baldwin PFT, p. 34</w:t>
      </w:r>
      <w:r w:rsidR="00A02D6C" w:rsidRPr="00321B5E">
        <w:rPr>
          <w:rFonts w:cs="Arial"/>
          <w:szCs w:val="24"/>
        </w:rPr>
        <w:t>-</w:t>
      </w:r>
      <w:r w:rsidR="00AE2E06" w:rsidRPr="00321B5E">
        <w:rPr>
          <w:rFonts w:cs="Arial"/>
          <w:szCs w:val="24"/>
        </w:rPr>
        <w:t xml:space="preserve">35.  </w:t>
      </w:r>
      <w:r w:rsidR="00504449" w:rsidRPr="00321B5E">
        <w:rPr>
          <w:rFonts w:cs="Arial"/>
          <w:szCs w:val="24"/>
        </w:rPr>
        <w:t xml:space="preserve">The OCC’s conclusion to its analysis of the prices charged to hardship customers and their participation in the third-party supplier market is that overall, hardship customers would be financially better off on standard service.  Baldwin PFT, p. 37 </w:t>
      </w:r>
      <w:r w:rsidR="00A02D6C" w:rsidRPr="00321B5E">
        <w:rPr>
          <w:rFonts w:cs="Arial"/>
          <w:szCs w:val="24"/>
        </w:rPr>
        <w:t>-</w:t>
      </w:r>
      <w:r w:rsidR="00504449" w:rsidRPr="00321B5E">
        <w:rPr>
          <w:rFonts w:cs="Arial"/>
          <w:szCs w:val="24"/>
        </w:rPr>
        <w:t xml:space="preserve">38.  The OCC contends that a hardship customer who elects to enroll with a third-party supplier faces a strong possibility that they will pay more for that service than a non-hardship customer doing business with the same third-party supplier.  The OCC sees this as an unsustainable trend that significantly impacts a customer population that is already struggling to pay their utility bills.  OCC Brief, pp. 6 and 7.  </w:t>
      </w:r>
    </w:p>
    <w:p w:rsidR="00372E42" w:rsidRPr="00321B5E" w:rsidRDefault="00372E42" w:rsidP="001A4E0D">
      <w:pPr>
        <w:rPr>
          <w:rFonts w:cs="Arial"/>
          <w:szCs w:val="24"/>
        </w:rPr>
      </w:pPr>
    </w:p>
    <w:p w:rsidR="00CF3BDE" w:rsidRPr="00321B5E" w:rsidRDefault="00CF3BDE" w:rsidP="00CF3BDE">
      <w:pPr>
        <w:pStyle w:val="Heading2"/>
        <w:rPr>
          <w:rFonts w:cs="Arial"/>
          <w:szCs w:val="24"/>
        </w:rPr>
      </w:pPr>
      <w:bookmarkStart w:id="22" w:name="_Toc26174990"/>
      <w:r w:rsidRPr="00321B5E">
        <w:rPr>
          <w:rFonts w:cs="Arial"/>
          <w:szCs w:val="24"/>
        </w:rPr>
        <w:t>DEEP</w:t>
      </w:r>
      <w:bookmarkEnd w:id="22"/>
    </w:p>
    <w:p w:rsidR="00CF3BDE" w:rsidRPr="00321B5E" w:rsidRDefault="00CF3BDE" w:rsidP="001A4E0D">
      <w:pPr>
        <w:rPr>
          <w:rFonts w:cs="Arial"/>
          <w:szCs w:val="24"/>
        </w:rPr>
      </w:pPr>
    </w:p>
    <w:p w:rsidR="00CF3BDE" w:rsidRPr="00321B5E" w:rsidRDefault="00CF3BDE" w:rsidP="001A4E0D">
      <w:pPr>
        <w:rPr>
          <w:rFonts w:cs="Arial"/>
          <w:szCs w:val="24"/>
        </w:rPr>
      </w:pPr>
      <w:r w:rsidRPr="00321B5E">
        <w:rPr>
          <w:rFonts w:cs="Arial"/>
          <w:szCs w:val="24"/>
        </w:rPr>
        <w:tab/>
        <w:t>In its Brief, DEEP recommend</w:t>
      </w:r>
      <w:r w:rsidR="00A02D6C" w:rsidRPr="00321B5E">
        <w:rPr>
          <w:rFonts w:cs="Arial"/>
          <w:szCs w:val="24"/>
        </w:rPr>
        <w:t>s</w:t>
      </w:r>
      <w:r w:rsidRPr="00321B5E">
        <w:rPr>
          <w:rFonts w:cs="Arial"/>
          <w:szCs w:val="24"/>
        </w:rPr>
        <w:t xml:space="preserve"> that the Authority exercise the statutory a</w:t>
      </w:r>
      <w:r w:rsidR="0085638F" w:rsidRPr="00321B5E">
        <w:rPr>
          <w:rFonts w:cs="Arial"/>
          <w:szCs w:val="24"/>
        </w:rPr>
        <w:t>uthority afforded to it and order hardship customers to be placed on standard service.  DEEP argue</w:t>
      </w:r>
      <w:r w:rsidR="00A02D6C" w:rsidRPr="00321B5E">
        <w:rPr>
          <w:rFonts w:cs="Arial"/>
          <w:szCs w:val="24"/>
        </w:rPr>
        <w:t>s</w:t>
      </w:r>
      <w:r w:rsidR="0085638F" w:rsidRPr="00321B5E">
        <w:rPr>
          <w:rFonts w:cs="Arial"/>
          <w:szCs w:val="24"/>
        </w:rPr>
        <w:t xml:space="preserve"> record evidence demonstrate</w:t>
      </w:r>
      <w:r w:rsidR="00A02D6C" w:rsidRPr="00321B5E">
        <w:rPr>
          <w:rFonts w:cs="Arial"/>
          <w:szCs w:val="24"/>
        </w:rPr>
        <w:t>s</w:t>
      </w:r>
      <w:r w:rsidR="0085638F" w:rsidRPr="00321B5E">
        <w:rPr>
          <w:rFonts w:cs="Arial"/>
          <w:szCs w:val="24"/>
        </w:rPr>
        <w:t xml:space="preserve"> that taking this course of action would be feasible and any costs in doing so would be outweighed by the benefits.  DEEP Brief, p.1.  Citing the OCC’s Pre</w:t>
      </w:r>
      <w:r w:rsidR="00DF5075" w:rsidRPr="00321B5E">
        <w:rPr>
          <w:rFonts w:cs="Arial"/>
          <w:szCs w:val="24"/>
        </w:rPr>
        <w:t>-</w:t>
      </w:r>
      <w:r w:rsidR="0085638F" w:rsidRPr="00321B5E">
        <w:rPr>
          <w:rFonts w:cs="Arial"/>
          <w:szCs w:val="24"/>
        </w:rPr>
        <w:t>filed Testimony, DEEP note</w:t>
      </w:r>
      <w:r w:rsidR="00A02D6C" w:rsidRPr="00321B5E">
        <w:rPr>
          <w:rFonts w:cs="Arial"/>
          <w:szCs w:val="24"/>
        </w:rPr>
        <w:t>s</w:t>
      </w:r>
      <w:r w:rsidR="002100C9" w:rsidRPr="00321B5E">
        <w:rPr>
          <w:rFonts w:cs="Arial"/>
          <w:szCs w:val="24"/>
        </w:rPr>
        <w:t xml:space="preserve"> several points negatively affecting hardship customers</w:t>
      </w:r>
      <w:r w:rsidR="00A02D6C" w:rsidRPr="00321B5E">
        <w:rPr>
          <w:rFonts w:cs="Arial"/>
          <w:szCs w:val="24"/>
        </w:rPr>
        <w:t xml:space="preserve">, </w:t>
      </w:r>
      <w:r w:rsidR="00165F26" w:rsidRPr="00321B5E">
        <w:rPr>
          <w:rFonts w:cs="Arial"/>
          <w:szCs w:val="24"/>
        </w:rPr>
        <w:t>in</w:t>
      </w:r>
      <w:r w:rsidR="002100C9" w:rsidRPr="00321B5E">
        <w:rPr>
          <w:rFonts w:cs="Arial"/>
          <w:szCs w:val="24"/>
        </w:rPr>
        <w:t xml:space="preserve"> particular, </w:t>
      </w:r>
      <w:r w:rsidR="0085638F" w:rsidRPr="00321B5E">
        <w:rPr>
          <w:rFonts w:cs="Arial"/>
          <w:szCs w:val="24"/>
        </w:rPr>
        <w:t>the additional $7.2 million paid by hardship customers to third-par</w:t>
      </w:r>
      <w:r w:rsidR="004C4E09" w:rsidRPr="00321B5E">
        <w:rPr>
          <w:rFonts w:cs="Arial"/>
          <w:szCs w:val="24"/>
        </w:rPr>
        <w:t>t</w:t>
      </w:r>
      <w:r w:rsidR="0085638F" w:rsidRPr="00321B5E">
        <w:rPr>
          <w:rFonts w:cs="Arial"/>
          <w:szCs w:val="24"/>
        </w:rPr>
        <w:t xml:space="preserve">y electric suppliers.  </w:t>
      </w:r>
      <w:proofErr w:type="gramStart"/>
      <w:r w:rsidR="006845D4" w:rsidRPr="00321B5E">
        <w:rPr>
          <w:rFonts w:cs="Arial"/>
          <w:i/>
          <w:szCs w:val="24"/>
        </w:rPr>
        <w:t>Id</w:t>
      </w:r>
      <w:r w:rsidR="006845D4" w:rsidRPr="00321B5E">
        <w:rPr>
          <w:rFonts w:cs="Arial"/>
          <w:szCs w:val="24"/>
        </w:rPr>
        <w:t>. at 5.</w:t>
      </w:r>
      <w:proofErr w:type="gramEnd"/>
      <w:r w:rsidR="006845D4" w:rsidRPr="00321B5E">
        <w:rPr>
          <w:rFonts w:cs="Arial"/>
          <w:szCs w:val="24"/>
        </w:rPr>
        <w:t xml:space="preserve">  </w:t>
      </w:r>
      <w:r w:rsidR="0085638F" w:rsidRPr="00321B5E">
        <w:rPr>
          <w:rFonts w:cs="Arial"/>
          <w:szCs w:val="24"/>
        </w:rPr>
        <w:t>DEEP further contend</w:t>
      </w:r>
      <w:r w:rsidR="00A02D6C" w:rsidRPr="00321B5E">
        <w:rPr>
          <w:rFonts w:cs="Arial"/>
          <w:szCs w:val="24"/>
        </w:rPr>
        <w:t>s</w:t>
      </w:r>
      <w:r w:rsidR="0085638F" w:rsidRPr="00321B5E">
        <w:rPr>
          <w:rFonts w:cs="Arial"/>
          <w:szCs w:val="24"/>
        </w:rPr>
        <w:t xml:space="preserve"> that these additional expenditures by hardship customers towards their electricity </w:t>
      </w:r>
      <w:r w:rsidR="00A02D6C" w:rsidRPr="00321B5E">
        <w:rPr>
          <w:rFonts w:cs="Arial"/>
          <w:szCs w:val="24"/>
        </w:rPr>
        <w:t xml:space="preserve">have </w:t>
      </w:r>
      <w:r w:rsidR="0085638F" w:rsidRPr="00321B5E">
        <w:rPr>
          <w:rFonts w:cs="Arial"/>
          <w:szCs w:val="24"/>
        </w:rPr>
        <w:t xml:space="preserve">an adverse and significant impact on utility, state and federal programs designed to defray the costs of electricity such as </w:t>
      </w:r>
      <w:r w:rsidR="00EC63E8" w:rsidRPr="00321B5E">
        <w:rPr>
          <w:rFonts w:cs="Arial"/>
          <w:szCs w:val="24"/>
        </w:rPr>
        <w:t xml:space="preserve">the </w:t>
      </w:r>
      <w:r w:rsidR="0085638F" w:rsidRPr="00321B5E">
        <w:rPr>
          <w:rFonts w:cs="Arial"/>
          <w:szCs w:val="24"/>
        </w:rPr>
        <w:t>Matching Payments Program</w:t>
      </w:r>
      <w:r w:rsidR="00EC63E8" w:rsidRPr="00321B5E">
        <w:rPr>
          <w:rFonts w:cs="Arial"/>
          <w:szCs w:val="24"/>
        </w:rPr>
        <w:t xml:space="preserve"> (MPP), an arrearage forgiveness plan,</w:t>
      </w:r>
      <w:r w:rsidR="0085638F" w:rsidRPr="00321B5E">
        <w:rPr>
          <w:rFonts w:cs="Arial"/>
          <w:szCs w:val="24"/>
        </w:rPr>
        <w:t xml:space="preserve"> and the Connecticut Energy Assistance Program</w:t>
      </w:r>
      <w:r w:rsidR="00EC63E8" w:rsidRPr="00321B5E">
        <w:rPr>
          <w:rFonts w:cs="Arial"/>
          <w:szCs w:val="24"/>
        </w:rPr>
        <w:t xml:space="preserve"> (CEAP)</w:t>
      </w:r>
      <w:r w:rsidR="0085638F" w:rsidRPr="00321B5E">
        <w:rPr>
          <w:rFonts w:cs="Arial"/>
          <w:szCs w:val="24"/>
        </w:rPr>
        <w:t xml:space="preserve">.  </w:t>
      </w:r>
      <w:r w:rsidR="00A02D6C" w:rsidRPr="00321B5E">
        <w:rPr>
          <w:rFonts w:cs="Arial"/>
          <w:i/>
          <w:szCs w:val="24"/>
        </w:rPr>
        <w:t>Id</w:t>
      </w:r>
      <w:r w:rsidR="00A02D6C" w:rsidRPr="00321B5E">
        <w:rPr>
          <w:rFonts w:cs="Arial"/>
          <w:szCs w:val="24"/>
        </w:rPr>
        <w:t>. at</w:t>
      </w:r>
      <w:r w:rsidR="0085638F" w:rsidRPr="00321B5E">
        <w:rPr>
          <w:rFonts w:cs="Arial"/>
          <w:szCs w:val="24"/>
        </w:rPr>
        <w:t xml:space="preserve"> p 5</w:t>
      </w:r>
      <w:r w:rsidR="002100C9" w:rsidRPr="00321B5E">
        <w:rPr>
          <w:rFonts w:cs="Arial"/>
          <w:szCs w:val="24"/>
        </w:rPr>
        <w:t>-</w:t>
      </w:r>
      <w:r w:rsidR="006845D4" w:rsidRPr="00321B5E">
        <w:rPr>
          <w:rFonts w:cs="Arial"/>
          <w:szCs w:val="24"/>
        </w:rPr>
        <w:t>6</w:t>
      </w:r>
      <w:r w:rsidR="0085638F" w:rsidRPr="00321B5E">
        <w:rPr>
          <w:rFonts w:cs="Arial"/>
          <w:szCs w:val="24"/>
        </w:rPr>
        <w:t xml:space="preserve">.  </w:t>
      </w:r>
      <w:r w:rsidR="00EC63E8" w:rsidRPr="00321B5E">
        <w:rPr>
          <w:rFonts w:cs="Arial"/>
          <w:szCs w:val="24"/>
        </w:rPr>
        <w:t xml:space="preserve">DEEP </w:t>
      </w:r>
      <w:r w:rsidR="00A02D6C" w:rsidRPr="00321B5E">
        <w:rPr>
          <w:rFonts w:cs="Arial"/>
          <w:szCs w:val="24"/>
        </w:rPr>
        <w:t>argues</w:t>
      </w:r>
      <w:r w:rsidR="00EC63E8" w:rsidRPr="00321B5E">
        <w:rPr>
          <w:rFonts w:cs="Arial"/>
          <w:szCs w:val="24"/>
        </w:rPr>
        <w:t xml:space="preserve"> that if hardship customers enrolled in the MPP are overpaying for their electric service, hardship customers will find it harder to reduce their arrearages and gain control over their energy costs.  </w:t>
      </w:r>
      <w:r w:rsidR="006845D4" w:rsidRPr="00321B5E">
        <w:rPr>
          <w:rFonts w:cs="Arial"/>
          <w:i/>
          <w:szCs w:val="24"/>
        </w:rPr>
        <w:t>Id</w:t>
      </w:r>
      <w:r w:rsidR="006845D4" w:rsidRPr="00321B5E">
        <w:rPr>
          <w:rFonts w:cs="Arial"/>
          <w:szCs w:val="24"/>
        </w:rPr>
        <w:t xml:space="preserve">.  </w:t>
      </w:r>
      <w:r w:rsidR="00EC63E8" w:rsidRPr="00321B5E">
        <w:rPr>
          <w:rFonts w:cs="Arial"/>
          <w:szCs w:val="24"/>
        </w:rPr>
        <w:t>In addition to this concern, DEEP argue</w:t>
      </w:r>
      <w:r w:rsidR="00A02D6C" w:rsidRPr="00321B5E">
        <w:rPr>
          <w:rFonts w:cs="Arial"/>
          <w:szCs w:val="24"/>
        </w:rPr>
        <w:t>s</w:t>
      </w:r>
      <w:r w:rsidR="00EC63E8" w:rsidRPr="00321B5E">
        <w:rPr>
          <w:rFonts w:cs="Arial"/>
          <w:szCs w:val="24"/>
        </w:rPr>
        <w:t xml:space="preserve"> that ratepayer and federal CEAP funds designed to assist low-income households are being effectively transferred from ratepayers and social service programs to the third-party electric suppliers with no demonstrated social welfare gains.  </w:t>
      </w:r>
      <w:r w:rsidR="00A02D6C" w:rsidRPr="00321B5E">
        <w:rPr>
          <w:rFonts w:cs="Arial"/>
          <w:i/>
          <w:szCs w:val="24"/>
        </w:rPr>
        <w:t>Id</w:t>
      </w:r>
      <w:r w:rsidR="00A02D6C" w:rsidRPr="00321B5E">
        <w:rPr>
          <w:rFonts w:cs="Arial"/>
          <w:szCs w:val="24"/>
        </w:rPr>
        <w:t>. at</w:t>
      </w:r>
      <w:r w:rsidR="00EC63E8" w:rsidRPr="00321B5E">
        <w:rPr>
          <w:rFonts w:cs="Arial"/>
          <w:szCs w:val="24"/>
        </w:rPr>
        <w:t xml:space="preserve"> p. 6</w:t>
      </w:r>
    </w:p>
    <w:p w:rsidR="00EC63E8" w:rsidRPr="00321B5E" w:rsidRDefault="00EC63E8" w:rsidP="001A4E0D">
      <w:pPr>
        <w:rPr>
          <w:rFonts w:cs="Arial"/>
          <w:szCs w:val="24"/>
        </w:rPr>
      </w:pPr>
    </w:p>
    <w:p w:rsidR="00EC63E8" w:rsidRPr="00321B5E" w:rsidRDefault="00EC63E8" w:rsidP="001A4E0D">
      <w:pPr>
        <w:rPr>
          <w:rFonts w:cs="Arial"/>
          <w:szCs w:val="24"/>
        </w:rPr>
      </w:pPr>
      <w:r w:rsidRPr="00321B5E">
        <w:rPr>
          <w:rFonts w:cs="Arial"/>
          <w:szCs w:val="24"/>
        </w:rPr>
        <w:tab/>
      </w:r>
      <w:r w:rsidR="004F276C" w:rsidRPr="00321B5E">
        <w:rPr>
          <w:rFonts w:cs="Arial"/>
          <w:szCs w:val="24"/>
        </w:rPr>
        <w:t xml:space="preserve">DEEP </w:t>
      </w:r>
      <w:r w:rsidR="006845D4" w:rsidRPr="00321B5E">
        <w:rPr>
          <w:rFonts w:cs="Arial"/>
          <w:szCs w:val="24"/>
        </w:rPr>
        <w:t>remains</w:t>
      </w:r>
      <w:r w:rsidR="004F276C" w:rsidRPr="00321B5E">
        <w:rPr>
          <w:rFonts w:cs="Arial"/>
          <w:szCs w:val="24"/>
        </w:rPr>
        <w:t xml:space="preserve"> unconvinced that hardship customers were actually realizing any of the potential savings or ancillary </w:t>
      </w:r>
      <w:r w:rsidR="000F3B41" w:rsidRPr="00321B5E">
        <w:rPr>
          <w:rFonts w:cs="Arial"/>
          <w:szCs w:val="24"/>
        </w:rPr>
        <w:t>benefits</w:t>
      </w:r>
      <w:r w:rsidR="004F276C" w:rsidRPr="00321B5E">
        <w:rPr>
          <w:rFonts w:cs="Arial"/>
          <w:szCs w:val="24"/>
        </w:rPr>
        <w:t xml:space="preserve"> as identified by the Retail Energy Supply Association’s (RESA) expert witness.  </w:t>
      </w:r>
      <w:r w:rsidR="006845D4" w:rsidRPr="00321B5E">
        <w:rPr>
          <w:rFonts w:cs="Arial"/>
          <w:i/>
          <w:szCs w:val="24"/>
        </w:rPr>
        <w:t>Id</w:t>
      </w:r>
      <w:r w:rsidR="006845D4" w:rsidRPr="00321B5E">
        <w:rPr>
          <w:rFonts w:cs="Arial"/>
          <w:szCs w:val="24"/>
        </w:rPr>
        <w:t xml:space="preserve">. at 6-7.  </w:t>
      </w:r>
      <w:proofErr w:type="gramStart"/>
      <w:r w:rsidR="004F276C" w:rsidRPr="00321B5E">
        <w:rPr>
          <w:rFonts w:cs="Arial"/>
          <w:szCs w:val="24"/>
        </w:rPr>
        <w:t xml:space="preserve">DEEP  </w:t>
      </w:r>
      <w:r w:rsidR="006845D4" w:rsidRPr="00321B5E">
        <w:rPr>
          <w:rFonts w:cs="Arial"/>
          <w:szCs w:val="24"/>
        </w:rPr>
        <w:t>argues</w:t>
      </w:r>
      <w:proofErr w:type="gramEnd"/>
      <w:r w:rsidR="006845D4" w:rsidRPr="00321B5E">
        <w:rPr>
          <w:rFonts w:cs="Arial"/>
          <w:szCs w:val="24"/>
        </w:rPr>
        <w:t xml:space="preserve"> </w:t>
      </w:r>
      <w:r w:rsidR="004F276C" w:rsidRPr="00321B5E">
        <w:rPr>
          <w:rFonts w:cs="Arial"/>
          <w:szCs w:val="24"/>
        </w:rPr>
        <w:t xml:space="preserve">that RESA </w:t>
      </w:r>
      <w:r w:rsidR="006845D4" w:rsidRPr="00321B5E">
        <w:rPr>
          <w:rFonts w:cs="Arial"/>
          <w:szCs w:val="24"/>
        </w:rPr>
        <w:t xml:space="preserve">did </w:t>
      </w:r>
      <w:r w:rsidR="004F276C" w:rsidRPr="00321B5E">
        <w:rPr>
          <w:rFonts w:cs="Arial"/>
          <w:szCs w:val="24"/>
        </w:rPr>
        <w:t>not identif</w:t>
      </w:r>
      <w:r w:rsidR="006845D4" w:rsidRPr="00321B5E">
        <w:rPr>
          <w:rFonts w:cs="Arial"/>
          <w:szCs w:val="24"/>
        </w:rPr>
        <w:t>y</w:t>
      </w:r>
      <w:r w:rsidR="004F276C" w:rsidRPr="00321B5E">
        <w:rPr>
          <w:rFonts w:cs="Arial"/>
          <w:szCs w:val="24"/>
        </w:rPr>
        <w:t xml:space="preserve"> a compelling </w:t>
      </w:r>
      <w:r w:rsidR="006845D4" w:rsidRPr="00321B5E">
        <w:rPr>
          <w:rFonts w:cs="Arial"/>
          <w:szCs w:val="24"/>
        </w:rPr>
        <w:t xml:space="preserve">justification </w:t>
      </w:r>
      <w:r w:rsidR="004F276C" w:rsidRPr="00321B5E">
        <w:rPr>
          <w:rFonts w:cs="Arial"/>
          <w:szCs w:val="24"/>
        </w:rPr>
        <w:t xml:space="preserve">for the Authority to continue allowing hardship customers to overpay for electric service and undermine important social welfare </w:t>
      </w:r>
      <w:r w:rsidR="004F276C" w:rsidRPr="00321B5E">
        <w:rPr>
          <w:rFonts w:cs="Arial"/>
          <w:szCs w:val="24"/>
        </w:rPr>
        <w:lastRenderedPageBreak/>
        <w:t xml:space="preserve">programs.  </w:t>
      </w:r>
      <w:r w:rsidR="006845D4" w:rsidRPr="00321B5E">
        <w:rPr>
          <w:rFonts w:cs="Arial"/>
          <w:i/>
          <w:szCs w:val="24"/>
        </w:rPr>
        <w:t>Id</w:t>
      </w:r>
      <w:r w:rsidR="009B2FEA" w:rsidRPr="00321B5E">
        <w:rPr>
          <w:rFonts w:cs="Arial"/>
          <w:szCs w:val="24"/>
        </w:rPr>
        <w:t xml:space="preserve">.  </w:t>
      </w:r>
      <w:r w:rsidR="004F276C" w:rsidRPr="00321B5E">
        <w:rPr>
          <w:rFonts w:cs="Arial"/>
          <w:szCs w:val="24"/>
        </w:rPr>
        <w:t xml:space="preserve">DEEP </w:t>
      </w:r>
      <w:r w:rsidR="00546CFE" w:rsidRPr="00321B5E">
        <w:rPr>
          <w:rFonts w:cs="Arial"/>
          <w:szCs w:val="24"/>
        </w:rPr>
        <w:t>state</w:t>
      </w:r>
      <w:r w:rsidR="00134F12" w:rsidRPr="00321B5E">
        <w:rPr>
          <w:rFonts w:cs="Arial"/>
          <w:szCs w:val="24"/>
        </w:rPr>
        <w:t>s</w:t>
      </w:r>
      <w:r w:rsidR="00546CFE" w:rsidRPr="00321B5E">
        <w:rPr>
          <w:rFonts w:cs="Arial"/>
          <w:szCs w:val="24"/>
        </w:rPr>
        <w:t xml:space="preserve"> that the focus of RESA’s testimony was that hardship customers should be allowed to retain the option to purchase electric generation service from third-party suppliers because there is a potential for significant savings, that it is possible that hardship customers received benefits that would not appear in a comparison of rates and that it is possible that hardship customers pay more than standard service rates as a hedge against standard service volatility.  </w:t>
      </w:r>
      <w:r w:rsidR="009B2FEA" w:rsidRPr="00321B5E">
        <w:rPr>
          <w:rFonts w:cs="Arial"/>
          <w:i/>
          <w:szCs w:val="24"/>
        </w:rPr>
        <w:t>Id</w:t>
      </w:r>
      <w:r w:rsidR="009B2FEA" w:rsidRPr="00321B5E">
        <w:rPr>
          <w:rFonts w:cs="Arial"/>
          <w:szCs w:val="24"/>
        </w:rPr>
        <w:t>. at p.</w:t>
      </w:r>
      <w:r w:rsidR="00546CFE" w:rsidRPr="00321B5E">
        <w:rPr>
          <w:rFonts w:cs="Arial"/>
          <w:szCs w:val="24"/>
        </w:rPr>
        <w:t xml:space="preserve"> 7.  </w:t>
      </w:r>
      <w:r w:rsidR="00186086" w:rsidRPr="00321B5E">
        <w:rPr>
          <w:rFonts w:cs="Arial"/>
          <w:szCs w:val="24"/>
        </w:rPr>
        <w:t>However, DEEP argue</w:t>
      </w:r>
      <w:r w:rsidR="00134F12" w:rsidRPr="00321B5E">
        <w:rPr>
          <w:rFonts w:cs="Arial"/>
          <w:szCs w:val="24"/>
        </w:rPr>
        <w:t>s</w:t>
      </w:r>
      <w:r w:rsidR="00186086" w:rsidRPr="00321B5E">
        <w:rPr>
          <w:rFonts w:cs="Arial"/>
          <w:szCs w:val="24"/>
        </w:rPr>
        <w:t xml:space="preserve"> that a retrospective look at rates actually paid by hardship customers </w:t>
      </w:r>
      <w:r w:rsidR="00134F12" w:rsidRPr="00321B5E">
        <w:rPr>
          <w:rFonts w:cs="Arial"/>
          <w:szCs w:val="24"/>
        </w:rPr>
        <w:t>illustrates</w:t>
      </w:r>
      <w:r w:rsidR="00186086" w:rsidRPr="00321B5E">
        <w:rPr>
          <w:rFonts w:cs="Arial"/>
          <w:szCs w:val="24"/>
        </w:rPr>
        <w:t xml:space="preserve"> this position was not supported by record evidence.  </w:t>
      </w:r>
      <w:r w:rsidR="00186086" w:rsidRPr="00321B5E">
        <w:rPr>
          <w:rFonts w:cs="Arial"/>
          <w:i/>
          <w:iCs/>
          <w:szCs w:val="24"/>
        </w:rPr>
        <w:t>Id</w:t>
      </w:r>
      <w:r w:rsidR="00186086" w:rsidRPr="00321B5E">
        <w:rPr>
          <w:rFonts w:cs="Arial"/>
          <w:szCs w:val="24"/>
        </w:rPr>
        <w:t>.</w:t>
      </w:r>
    </w:p>
    <w:p w:rsidR="00CF3BDE" w:rsidRPr="00321B5E" w:rsidRDefault="00CF3BDE" w:rsidP="001A4E0D">
      <w:pPr>
        <w:rPr>
          <w:rFonts w:cs="Arial"/>
          <w:szCs w:val="24"/>
        </w:rPr>
      </w:pPr>
    </w:p>
    <w:p w:rsidR="00372E42" w:rsidRPr="00321B5E" w:rsidRDefault="00186086" w:rsidP="001A4E0D">
      <w:pPr>
        <w:rPr>
          <w:rFonts w:cs="Arial"/>
          <w:szCs w:val="24"/>
        </w:rPr>
      </w:pPr>
      <w:r w:rsidRPr="00321B5E">
        <w:rPr>
          <w:rFonts w:cs="Arial"/>
          <w:szCs w:val="24"/>
        </w:rPr>
        <w:tab/>
        <w:t xml:space="preserve">Finally, DEEP </w:t>
      </w:r>
      <w:r w:rsidR="00134F12" w:rsidRPr="00321B5E">
        <w:rPr>
          <w:rFonts w:cs="Arial"/>
          <w:szCs w:val="24"/>
        </w:rPr>
        <w:t>contends</w:t>
      </w:r>
      <w:r w:rsidRPr="00321B5E">
        <w:rPr>
          <w:rFonts w:cs="Arial"/>
          <w:szCs w:val="24"/>
        </w:rPr>
        <w:t xml:space="preserve"> that ordering hardship customers to be placed on standard service would be feasible and would not require significant costs.  DEEP note</w:t>
      </w:r>
      <w:r w:rsidR="00134F12" w:rsidRPr="00321B5E">
        <w:rPr>
          <w:rFonts w:cs="Arial"/>
          <w:szCs w:val="24"/>
        </w:rPr>
        <w:t>s</w:t>
      </w:r>
      <w:r w:rsidRPr="00321B5E">
        <w:rPr>
          <w:rFonts w:cs="Arial"/>
          <w:szCs w:val="24"/>
        </w:rPr>
        <w:t xml:space="preserve"> </w:t>
      </w:r>
      <w:r w:rsidR="00F90944" w:rsidRPr="00321B5E">
        <w:rPr>
          <w:rFonts w:cs="Arial"/>
          <w:szCs w:val="24"/>
        </w:rPr>
        <w:t xml:space="preserve">how </w:t>
      </w:r>
      <w:r w:rsidRPr="00321B5E">
        <w:rPr>
          <w:rFonts w:cs="Arial"/>
          <w:szCs w:val="24"/>
        </w:rPr>
        <w:t xml:space="preserve">the approximate $3.6 million annual over-payment from hardship customers towards third-party suppliers outweighs </w:t>
      </w:r>
      <w:r w:rsidR="00F90944" w:rsidRPr="00321B5E">
        <w:rPr>
          <w:rFonts w:cs="Arial"/>
          <w:szCs w:val="24"/>
        </w:rPr>
        <w:t xml:space="preserve">the costs proposed by the electric distribution companies (EDC, i.e. Eversource and UI) to implement such a system.  </w:t>
      </w:r>
      <w:r w:rsidR="00134F12" w:rsidRPr="00321B5E">
        <w:rPr>
          <w:rFonts w:cs="Arial"/>
          <w:i/>
          <w:szCs w:val="24"/>
        </w:rPr>
        <w:t>Id</w:t>
      </w:r>
      <w:r w:rsidR="00134F12" w:rsidRPr="00321B5E">
        <w:rPr>
          <w:rFonts w:cs="Arial"/>
          <w:szCs w:val="24"/>
        </w:rPr>
        <w:t xml:space="preserve">. at </w:t>
      </w:r>
      <w:r w:rsidR="00F90944" w:rsidRPr="00321B5E">
        <w:rPr>
          <w:rFonts w:cs="Arial"/>
          <w:szCs w:val="24"/>
        </w:rPr>
        <w:t>p. 10</w:t>
      </w:r>
      <w:r w:rsidR="00134F12" w:rsidRPr="00321B5E">
        <w:rPr>
          <w:rFonts w:cs="Arial"/>
          <w:szCs w:val="24"/>
        </w:rPr>
        <w:t>-</w:t>
      </w:r>
      <w:r w:rsidR="00F90944" w:rsidRPr="00321B5E">
        <w:rPr>
          <w:rFonts w:cs="Arial"/>
          <w:szCs w:val="24"/>
        </w:rPr>
        <w:t>11.</w:t>
      </w:r>
      <w:r w:rsidR="00647B90" w:rsidRPr="00321B5E">
        <w:rPr>
          <w:rFonts w:cs="Arial"/>
          <w:szCs w:val="24"/>
        </w:rPr>
        <w:t xml:space="preserve">  DEEP recognize</w:t>
      </w:r>
      <w:r w:rsidR="00134F12" w:rsidRPr="00321B5E">
        <w:rPr>
          <w:rFonts w:cs="Arial"/>
          <w:szCs w:val="24"/>
        </w:rPr>
        <w:t>s</w:t>
      </w:r>
      <w:r w:rsidR="00647B90" w:rsidRPr="00321B5E">
        <w:rPr>
          <w:rFonts w:cs="Arial"/>
          <w:szCs w:val="24"/>
        </w:rPr>
        <w:t xml:space="preserve"> that implementing this action would require upgrades to the EDCs</w:t>
      </w:r>
      <w:r w:rsidR="00DF5075" w:rsidRPr="00321B5E">
        <w:rPr>
          <w:rFonts w:cs="Arial"/>
          <w:szCs w:val="24"/>
        </w:rPr>
        <w:t>’</w:t>
      </w:r>
      <w:r w:rsidR="00647B90" w:rsidRPr="00321B5E">
        <w:rPr>
          <w:rFonts w:cs="Arial"/>
          <w:szCs w:val="24"/>
        </w:rPr>
        <w:t xml:space="preserve"> systems as well as updating training procedures in its call centers</w:t>
      </w:r>
      <w:r w:rsidR="00134F12" w:rsidRPr="00321B5E">
        <w:rPr>
          <w:rFonts w:cs="Arial"/>
          <w:szCs w:val="24"/>
        </w:rPr>
        <w:t>; h</w:t>
      </w:r>
      <w:r w:rsidR="00647B90" w:rsidRPr="00321B5E">
        <w:rPr>
          <w:rFonts w:cs="Arial"/>
          <w:szCs w:val="24"/>
        </w:rPr>
        <w:t xml:space="preserve">owever, DEEP contends that any challenges that may arise in implementing said systems </w:t>
      </w:r>
      <w:r w:rsidR="00134F12" w:rsidRPr="00321B5E">
        <w:rPr>
          <w:rFonts w:cs="Arial"/>
          <w:szCs w:val="24"/>
        </w:rPr>
        <w:t xml:space="preserve">do </w:t>
      </w:r>
      <w:r w:rsidR="00647B90" w:rsidRPr="00321B5E">
        <w:rPr>
          <w:rFonts w:cs="Arial"/>
          <w:szCs w:val="24"/>
        </w:rPr>
        <w:t>not rise to the level of making the changes infeasible.  DEEP Reply Brief, p 2</w:t>
      </w:r>
      <w:r w:rsidR="00134F12" w:rsidRPr="00321B5E">
        <w:rPr>
          <w:rFonts w:cs="Arial"/>
          <w:szCs w:val="24"/>
        </w:rPr>
        <w:t>-</w:t>
      </w:r>
      <w:r w:rsidR="00647B90" w:rsidRPr="00321B5E">
        <w:rPr>
          <w:rFonts w:cs="Arial"/>
          <w:szCs w:val="24"/>
        </w:rPr>
        <w:t xml:space="preserve">3.  </w:t>
      </w:r>
    </w:p>
    <w:p w:rsidR="00DB2884" w:rsidRPr="00321B5E" w:rsidRDefault="00DB2884" w:rsidP="001A4E0D">
      <w:pPr>
        <w:rPr>
          <w:rFonts w:cs="Arial"/>
          <w:szCs w:val="24"/>
        </w:rPr>
      </w:pPr>
    </w:p>
    <w:p w:rsidR="00F90944" w:rsidRPr="00321B5E" w:rsidRDefault="00F90944" w:rsidP="00F90944">
      <w:pPr>
        <w:pStyle w:val="Heading2"/>
        <w:rPr>
          <w:rFonts w:cs="Arial"/>
          <w:szCs w:val="24"/>
        </w:rPr>
      </w:pPr>
      <w:bookmarkStart w:id="23" w:name="_Toc26174991"/>
      <w:r w:rsidRPr="00321B5E">
        <w:rPr>
          <w:rFonts w:cs="Arial"/>
          <w:szCs w:val="24"/>
        </w:rPr>
        <w:t>AG</w:t>
      </w:r>
      <w:bookmarkEnd w:id="23"/>
    </w:p>
    <w:p w:rsidR="00F90944" w:rsidRPr="00321B5E" w:rsidRDefault="00F90944" w:rsidP="001A4E0D">
      <w:pPr>
        <w:rPr>
          <w:rFonts w:cs="Arial"/>
          <w:szCs w:val="24"/>
        </w:rPr>
      </w:pPr>
    </w:p>
    <w:p w:rsidR="00F90944" w:rsidRPr="00321B5E" w:rsidRDefault="00F90944" w:rsidP="001A4E0D">
      <w:pPr>
        <w:rPr>
          <w:rFonts w:cs="Arial"/>
          <w:szCs w:val="24"/>
        </w:rPr>
      </w:pPr>
      <w:r w:rsidRPr="00321B5E">
        <w:rPr>
          <w:rFonts w:cs="Arial"/>
          <w:szCs w:val="24"/>
        </w:rPr>
        <w:tab/>
        <w:t>In its Brief, the AG indicate</w:t>
      </w:r>
      <w:r w:rsidR="00134F12" w:rsidRPr="00321B5E">
        <w:rPr>
          <w:rFonts w:cs="Arial"/>
          <w:szCs w:val="24"/>
        </w:rPr>
        <w:t>s</w:t>
      </w:r>
      <w:r w:rsidRPr="00321B5E">
        <w:rPr>
          <w:rFonts w:cs="Arial"/>
          <w:szCs w:val="24"/>
        </w:rPr>
        <w:t xml:space="preserve"> that the record evidence demonstrate</w:t>
      </w:r>
      <w:r w:rsidR="00134F12" w:rsidRPr="00321B5E">
        <w:rPr>
          <w:rFonts w:cs="Arial"/>
          <w:szCs w:val="24"/>
        </w:rPr>
        <w:t>s</w:t>
      </w:r>
      <w:r w:rsidRPr="00321B5E">
        <w:rPr>
          <w:rFonts w:cs="Arial"/>
          <w:szCs w:val="24"/>
        </w:rPr>
        <w:t xml:space="preserve"> that </w:t>
      </w:r>
      <w:r w:rsidR="00342754" w:rsidRPr="00321B5E">
        <w:rPr>
          <w:rFonts w:cs="Arial"/>
          <w:szCs w:val="24"/>
        </w:rPr>
        <w:t xml:space="preserve">hardship customers experienced significant financial harm and that it is in the public </w:t>
      </w:r>
      <w:r w:rsidR="000F3B41" w:rsidRPr="00321B5E">
        <w:rPr>
          <w:rFonts w:cs="Arial"/>
          <w:szCs w:val="24"/>
        </w:rPr>
        <w:t>interest</w:t>
      </w:r>
      <w:r w:rsidR="00342754" w:rsidRPr="00321B5E">
        <w:rPr>
          <w:rFonts w:cs="Arial"/>
          <w:szCs w:val="24"/>
        </w:rPr>
        <w:t xml:space="preserve"> for the Authority to place said customers on standard service.  In addition, the AG contends that taking this action is both feasible and cost</w:t>
      </w:r>
      <w:r w:rsidR="00DF5075" w:rsidRPr="00321B5E">
        <w:rPr>
          <w:rFonts w:cs="Arial"/>
          <w:szCs w:val="24"/>
        </w:rPr>
        <w:t xml:space="preserve"> </w:t>
      </w:r>
      <w:r w:rsidR="00342754" w:rsidRPr="00321B5E">
        <w:rPr>
          <w:rFonts w:cs="Arial"/>
          <w:szCs w:val="24"/>
        </w:rPr>
        <w:t>effective.  AG Brief, p 4 and 9.</w:t>
      </w:r>
    </w:p>
    <w:p w:rsidR="00342754" w:rsidRPr="00321B5E" w:rsidRDefault="00342754" w:rsidP="001A4E0D">
      <w:pPr>
        <w:rPr>
          <w:rFonts w:cs="Arial"/>
          <w:szCs w:val="24"/>
        </w:rPr>
      </w:pPr>
    </w:p>
    <w:p w:rsidR="00342754" w:rsidRPr="00321B5E" w:rsidRDefault="00342754" w:rsidP="001A4E0D">
      <w:pPr>
        <w:rPr>
          <w:rFonts w:cs="Arial"/>
          <w:szCs w:val="24"/>
        </w:rPr>
      </w:pPr>
      <w:r w:rsidRPr="00321B5E">
        <w:rPr>
          <w:rFonts w:cs="Arial"/>
          <w:szCs w:val="24"/>
        </w:rPr>
        <w:tab/>
      </w:r>
      <w:r w:rsidR="008F7A2A" w:rsidRPr="00321B5E">
        <w:rPr>
          <w:rFonts w:cs="Arial"/>
          <w:szCs w:val="24"/>
        </w:rPr>
        <w:t>The AG note</w:t>
      </w:r>
      <w:r w:rsidR="00134F12" w:rsidRPr="00321B5E">
        <w:rPr>
          <w:rFonts w:cs="Arial"/>
          <w:szCs w:val="24"/>
        </w:rPr>
        <w:t>s</w:t>
      </w:r>
      <w:r w:rsidR="008F7A2A" w:rsidRPr="00321B5E">
        <w:rPr>
          <w:rFonts w:cs="Arial"/>
          <w:szCs w:val="24"/>
        </w:rPr>
        <w:t xml:space="preserve"> that RESA did not contest the OCC’s core conclusion that hardship customers paid approximately $7.2 million more to purchase electricity from third-party suppliers than if they had recei</w:t>
      </w:r>
      <w:r w:rsidR="00CC6DAE" w:rsidRPr="00321B5E">
        <w:rPr>
          <w:rFonts w:cs="Arial"/>
          <w:szCs w:val="24"/>
        </w:rPr>
        <w:t xml:space="preserve">ved standard service.  </w:t>
      </w:r>
      <w:r w:rsidR="00134F12" w:rsidRPr="00321B5E">
        <w:rPr>
          <w:rFonts w:cs="Arial"/>
          <w:i/>
          <w:szCs w:val="24"/>
        </w:rPr>
        <w:t>Id</w:t>
      </w:r>
      <w:r w:rsidR="00134F12" w:rsidRPr="00321B5E">
        <w:rPr>
          <w:rFonts w:cs="Arial"/>
          <w:szCs w:val="24"/>
        </w:rPr>
        <w:t>. at</w:t>
      </w:r>
      <w:r w:rsidR="00CC6DAE" w:rsidRPr="00321B5E">
        <w:rPr>
          <w:rFonts w:cs="Arial"/>
          <w:szCs w:val="24"/>
        </w:rPr>
        <w:t xml:space="preserve"> p. 5.  According </w:t>
      </w:r>
      <w:r w:rsidR="00FF2EE9" w:rsidRPr="00321B5E">
        <w:rPr>
          <w:rFonts w:cs="Arial"/>
          <w:szCs w:val="24"/>
        </w:rPr>
        <w:t>t</w:t>
      </w:r>
      <w:r w:rsidR="00CC6DAE" w:rsidRPr="00321B5E">
        <w:rPr>
          <w:rFonts w:cs="Arial"/>
          <w:szCs w:val="24"/>
        </w:rPr>
        <w:t xml:space="preserve">o the AG, RESA’s testimony and analysis used only hypothetical calculations for potential value to hardship customers, while the OCC’s testimony used actually billing data to demonstrate customer losses.  </w:t>
      </w:r>
      <w:r w:rsidR="00D7470A" w:rsidRPr="00321B5E">
        <w:rPr>
          <w:rFonts w:cs="Arial"/>
          <w:i/>
          <w:szCs w:val="24"/>
        </w:rPr>
        <w:t>Id</w:t>
      </w:r>
      <w:r w:rsidR="00D7470A" w:rsidRPr="00321B5E">
        <w:rPr>
          <w:rFonts w:cs="Arial"/>
          <w:szCs w:val="24"/>
        </w:rPr>
        <w:t xml:space="preserve">. </w:t>
      </w:r>
      <w:r w:rsidR="00134F12" w:rsidRPr="00321B5E">
        <w:rPr>
          <w:rFonts w:cs="Arial"/>
          <w:szCs w:val="24"/>
        </w:rPr>
        <w:t xml:space="preserve"> </w:t>
      </w:r>
      <w:r w:rsidR="00CC6DAE" w:rsidRPr="00321B5E">
        <w:rPr>
          <w:rFonts w:cs="Arial"/>
          <w:szCs w:val="24"/>
        </w:rPr>
        <w:t>Further, the AG note</w:t>
      </w:r>
      <w:r w:rsidR="00134F12" w:rsidRPr="00321B5E">
        <w:rPr>
          <w:rFonts w:cs="Arial"/>
          <w:szCs w:val="24"/>
        </w:rPr>
        <w:t>s</w:t>
      </w:r>
      <w:r w:rsidR="00CC6DAE" w:rsidRPr="00321B5E">
        <w:rPr>
          <w:rFonts w:cs="Arial"/>
          <w:szCs w:val="24"/>
        </w:rPr>
        <w:t xml:space="preserve"> that RESA did not dispute the underlying mathematical analysis used by the OCC’s expert witness.  </w:t>
      </w:r>
      <w:r w:rsidR="00CC6DAE" w:rsidRPr="00321B5E">
        <w:rPr>
          <w:rFonts w:cs="Arial"/>
          <w:i/>
          <w:iCs/>
          <w:szCs w:val="24"/>
        </w:rPr>
        <w:t>Id</w:t>
      </w:r>
      <w:r w:rsidR="00CC6DAE" w:rsidRPr="00321B5E">
        <w:rPr>
          <w:rFonts w:cs="Arial"/>
          <w:szCs w:val="24"/>
        </w:rPr>
        <w:t>.</w:t>
      </w:r>
    </w:p>
    <w:p w:rsidR="00CC6DAE" w:rsidRPr="00321B5E" w:rsidRDefault="00CC6DAE" w:rsidP="001A4E0D">
      <w:pPr>
        <w:rPr>
          <w:rFonts w:cs="Arial"/>
          <w:szCs w:val="24"/>
        </w:rPr>
      </w:pPr>
    </w:p>
    <w:p w:rsidR="00F90944" w:rsidRPr="00321B5E" w:rsidRDefault="00CC6DAE" w:rsidP="001A4E0D">
      <w:pPr>
        <w:rPr>
          <w:rFonts w:cs="Arial"/>
          <w:szCs w:val="24"/>
        </w:rPr>
      </w:pPr>
      <w:r w:rsidRPr="00321B5E">
        <w:rPr>
          <w:rFonts w:cs="Arial"/>
          <w:szCs w:val="24"/>
        </w:rPr>
        <w:tab/>
        <w:t xml:space="preserve">The AG also </w:t>
      </w:r>
      <w:r w:rsidR="00134F12" w:rsidRPr="00321B5E">
        <w:rPr>
          <w:rFonts w:cs="Arial"/>
          <w:szCs w:val="24"/>
        </w:rPr>
        <w:t xml:space="preserve">takes </w:t>
      </w:r>
      <w:r w:rsidRPr="00321B5E">
        <w:rPr>
          <w:rFonts w:cs="Arial"/>
          <w:szCs w:val="24"/>
        </w:rPr>
        <w:t>issue with third-party electric suppliers overcharging hardship customers in relation to the problem of uncollectible debt.  Stating that the EDCs</w:t>
      </w:r>
      <w:r w:rsidR="00DF5075" w:rsidRPr="00321B5E">
        <w:rPr>
          <w:rFonts w:cs="Arial"/>
          <w:szCs w:val="24"/>
        </w:rPr>
        <w:t>’</w:t>
      </w:r>
      <w:r w:rsidRPr="00321B5E">
        <w:rPr>
          <w:rFonts w:cs="Arial"/>
          <w:szCs w:val="24"/>
        </w:rPr>
        <w:t xml:space="preserve"> uncollectible debt is already unsustainable, adding the burden of increased debt created by overcharged electric service placed unnecessary additional stress on </w:t>
      </w:r>
      <w:r w:rsidR="00A95771" w:rsidRPr="00321B5E">
        <w:rPr>
          <w:rFonts w:cs="Arial"/>
          <w:szCs w:val="24"/>
        </w:rPr>
        <w:t xml:space="preserve">public assistance programs tasked with assisting vulnerable populations.  </w:t>
      </w:r>
      <w:r w:rsidR="00A95771" w:rsidRPr="00321B5E">
        <w:rPr>
          <w:rFonts w:cs="Arial"/>
          <w:i/>
          <w:iCs/>
          <w:szCs w:val="24"/>
        </w:rPr>
        <w:t>Id</w:t>
      </w:r>
      <w:r w:rsidR="00A95771" w:rsidRPr="00321B5E">
        <w:rPr>
          <w:rFonts w:cs="Arial"/>
          <w:szCs w:val="24"/>
        </w:rPr>
        <w:t xml:space="preserve">. </w:t>
      </w:r>
      <w:r w:rsidR="00134F12" w:rsidRPr="00321B5E">
        <w:rPr>
          <w:rFonts w:cs="Arial"/>
          <w:szCs w:val="24"/>
        </w:rPr>
        <w:t xml:space="preserve">at </w:t>
      </w:r>
      <w:r w:rsidR="00A95771" w:rsidRPr="00321B5E">
        <w:rPr>
          <w:rFonts w:cs="Arial"/>
          <w:szCs w:val="24"/>
        </w:rPr>
        <w:t xml:space="preserve">p. 6.  </w:t>
      </w:r>
    </w:p>
    <w:p w:rsidR="00A95771" w:rsidRPr="00321B5E" w:rsidRDefault="00A95771" w:rsidP="001A4E0D">
      <w:pPr>
        <w:rPr>
          <w:rFonts w:cs="Arial"/>
          <w:szCs w:val="24"/>
        </w:rPr>
      </w:pPr>
    </w:p>
    <w:p w:rsidR="00A95771" w:rsidRPr="00321B5E" w:rsidRDefault="00A95771" w:rsidP="001A4E0D">
      <w:pPr>
        <w:rPr>
          <w:rFonts w:cs="Arial"/>
          <w:szCs w:val="24"/>
        </w:rPr>
      </w:pPr>
      <w:r w:rsidRPr="00321B5E">
        <w:rPr>
          <w:rFonts w:cs="Arial"/>
          <w:szCs w:val="24"/>
        </w:rPr>
        <w:tab/>
        <w:t xml:space="preserve">In regard to its argument that a process to place hardship customers on standard service would be both feasible and cost effective, the AG contends that both EDCs provided evidence that their systems could create a process that </w:t>
      </w:r>
      <w:r w:rsidR="00FF2EE9" w:rsidRPr="00321B5E">
        <w:rPr>
          <w:rFonts w:cs="Arial"/>
          <w:szCs w:val="24"/>
        </w:rPr>
        <w:t xml:space="preserve">could prevent a third-party supplier from enrolling a hardship customer.  </w:t>
      </w:r>
      <w:r w:rsidR="00D7470A" w:rsidRPr="00321B5E">
        <w:rPr>
          <w:rFonts w:cs="Arial"/>
          <w:i/>
          <w:szCs w:val="24"/>
        </w:rPr>
        <w:t>Id</w:t>
      </w:r>
      <w:r w:rsidR="00D7470A" w:rsidRPr="00321B5E">
        <w:rPr>
          <w:rFonts w:cs="Arial"/>
          <w:szCs w:val="24"/>
        </w:rPr>
        <w:t xml:space="preserve">. </w:t>
      </w:r>
      <w:r w:rsidR="00134F12" w:rsidRPr="00321B5E">
        <w:rPr>
          <w:rFonts w:cs="Arial"/>
          <w:szCs w:val="24"/>
        </w:rPr>
        <w:t xml:space="preserve">at </w:t>
      </w:r>
      <w:r w:rsidR="00D7470A" w:rsidRPr="00321B5E">
        <w:rPr>
          <w:rFonts w:cs="Arial"/>
          <w:szCs w:val="24"/>
        </w:rPr>
        <w:t xml:space="preserve">p. 7. </w:t>
      </w:r>
      <w:r w:rsidR="00FF2EE9" w:rsidRPr="00321B5E">
        <w:rPr>
          <w:rFonts w:cs="Arial"/>
          <w:szCs w:val="24"/>
        </w:rPr>
        <w:t>Further, the</w:t>
      </w:r>
      <w:r w:rsidR="00313137" w:rsidRPr="00321B5E">
        <w:rPr>
          <w:rFonts w:cs="Arial"/>
          <w:szCs w:val="24"/>
        </w:rPr>
        <w:t xml:space="preserve"> AG supports having third-party suppliers bear the expense of implementing the aforementioned changes to the EDCs</w:t>
      </w:r>
      <w:r w:rsidR="004A5D1B" w:rsidRPr="00321B5E">
        <w:rPr>
          <w:rFonts w:cs="Arial"/>
          <w:szCs w:val="24"/>
        </w:rPr>
        <w:t>’</w:t>
      </w:r>
      <w:r w:rsidR="00313137" w:rsidRPr="00321B5E">
        <w:rPr>
          <w:rFonts w:cs="Arial"/>
          <w:szCs w:val="24"/>
        </w:rPr>
        <w:t xml:space="preserve"> billing systems.  </w:t>
      </w:r>
      <w:r w:rsidR="00D7470A" w:rsidRPr="00321B5E">
        <w:rPr>
          <w:rFonts w:cs="Arial"/>
          <w:i/>
          <w:szCs w:val="24"/>
        </w:rPr>
        <w:t>Id</w:t>
      </w:r>
      <w:r w:rsidR="00D7470A" w:rsidRPr="00321B5E">
        <w:rPr>
          <w:rFonts w:cs="Arial"/>
          <w:szCs w:val="24"/>
        </w:rPr>
        <w:t xml:space="preserve">. </w:t>
      </w:r>
      <w:r w:rsidR="00134F12" w:rsidRPr="00321B5E">
        <w:rPr>
          <w:rFonts w:cs="Arial"/>
          <w:szCs w:val="24"/>
        </w:rPr>
        <w:t xml:space="preserve">at </w:t>
      </w:r>
      <w:r w:rsidR="00D7470A" w:rsidRPr="00321B5E">
        <w:rPr>
          <w:rFonts w:cs="Arial"/>
          <w:szCs w:val="24"/>
        </w:rPr>
        <w:t xml:space="preserve">p. 8. </w:t>
      </w:r>
      <w:r w:rsidR="00313137" w:rsidRPr="00321B5E">
        <w:rPr>
          <w:rFonts w:cs="Arial"/>
          <w:szCs w:val="24"/>
        </w:rPr>
        <w:t xml:space="preserve">The AG argues that both current law, </w:t>
      </w:r>
      <w:r w:rsidR="00313137" w:rsidRPr="00321B5E">
        <w:rPr>
          <w:rFonts w:cs="Arial"/>
          <w:szCs w:val="24"/>
        </w:rPr>
        <w:lastRenderedPageBreak/>
        <w:t>namely Conn. Gen. Stat. § 16-245d(b)</w:t>
      </w:r>
      <w:r w:rsidR="004A5D1B" w:rsidRPr="00321B5E">
        <w:rPr>
          <w:rFonts w:cs="Arial"/>
          <w:szCs w:val="24"/>
        </w:rPr>
        <w:t>,</w:t>
      </w:r>
      <w:r w:rsidR="00AF64D2" w:rsidRPr="00321B5E">
        <w:rPr>
          <w:rStyle w:val="FootnoteReference"/>
          <w:rFonts w:cs="Arial"/>
          <w:sz w:val="24"/>
          <w:szCs w:val="24"/>
        </w:rPr>
        <w:footnoteReference w:id="2"/>
      </w:r>
      <w:r w:rsidR="00313137" w:rsidRPr="00321B5E">
        <w:rPr>
          <w:rFonts w:cs="Arial"/>
          <w:szCs w:val="24"/>
        </w:rPr>
        <w:t xml:space="preserve"> and past Authority rulings such as within the December 1</w:t>
      </w:r>
      <w:r w:rsidR="00AF64D2" w:rsidRPr="00321B5E">
        <w:rPr>
          <w:rFonts w:cs="Arial"/>
          <w:szCs w:val="24"/>
        </w:rPr>
        <w:t>9</w:t>
      </w:r>
      <w:r w:rsidR="00313137" w:rsidRPr="00321B5E">
        <w:rPr>
          <w:rFonts w:cs="Arial"/>
          <w:szCs w:val="24"/>
        </w:rPr>
        <w:t xml:space="preserve">, 2018 Decision in Docket No. 14-07-19RE05, </w:t>
      </w:r>
      <w:r w:rsidR="00313137" w:rsidRPr="00321B5E">
        <w:rPr>
          <w:rFonts w:cs="Arial"/>
          <w:szCs w:val="24"/>
          <w:u w:val="single"/>
        </w:rPr>
        <w:t>PURA Investigation into Redesign of the Residential Electric Billing Format – Review of Summary Information, Implementation and Display</w:t>
      </w:r>
      <w:r w:rsidR="00313137" w:rsidRPr="00321B5E">
        <w:rPr>
          <w:rFonts w:cs="Arial"/>
          <w:szCs w:val="24"/>
        </w:rPr>
        <w:t>, provide the basis for ordering this course of action in this proc</w:t>
      </w:r>
      <w:r w:rsidR="00F83C46" w:rsidRPr="00321B5E">
        <w:rPr>
          <w:rFonts w:cs="Arial"/>
          <w:szCs w:val="24"/>
        </w:rPr>
        <w:t xml:space="preserve">eeding. </w:t>
      </w:r>
      <w:r w:rsidR="00D7470A" w:rsidRPr="00321B5E">
        <w:rPr>
          <w:rFonts w:cs="Arial"/>
          <w:i/>
          <w:szCs w:val="24"/>
        </w:rPr>
        <w:t>Id</w:t>
      </w:r>
      <w:r w:rsidR="00D7470A" w:rsidRPr="00321B5E">
        <w:rPr>
          <w:rFonts w:cs="Arial"/>
          <w:szCs w:val="24"/>
        </w:rPr>
        <w:t xml:space="preserve">. </w:t>
      </w:r>
      <w:r w:rsidR="00134F12" w:rsidRPr="00321B5E">
        <w:rPr>
          <w:rFonts w:cs="Arial"/>
          <w:szCs w:val="24"/>
        </w:rPr>
        <w:t xml:space="preserve">at </w:t>
      </w:r>
      <w:r w:rsidR="00D7470A" w:rsidRPr="00321B5E">
        <w:rPr>
          <w:rFonts w:cs="Arial"/>
          <w:szCs w:val="24"/>
        </w:rPr>
        <w:t>p.</w:t>
      </w:r>
      <w:r w:rsidR="00F83C46" w:rsidRPr="00321B5E">
        <w:rPr>
          <w:rFonts w:cs="Arial"/>
          <w:szCs w:val="24"/>
        </w:rPr>
        <w:t xml:space="preserve"> 8.</w:t>
      </w:r>
    </w:p>
    <w:p w:rsidR="00E169DC" w:rsidRPr="00321B5E" w:rsidRDefault="00E169DC" w:rsidP="001A4E0D">
      <w:pPr>
        <w:rPr>
          <w:rFonts w:cs="Arial"/>
          <w:szCs w:val="24"/>
        </w:rPr>
      </w:pPr>
    </w:p>
    <w:p w:rsidR="00E169DC" w:rsidRPr="00321B5E" w:rsidRDefault="00E169DC" w:rsidP="00E169DC">
      <w:pPr>
        <w:pStyle w:val="Heading2"/>
        <w:rPr>
          <w:rFonts w:cs="Arial"/>
          <w:szCs w:val="24"/>
        </w:rPr>
      </w:pPr>
      <w:bookmarkStart w:id="24" w:name="_Toc26174992"/>
      <w:r w:rsidRPr="00321B5E">
        <w:rPr>
          <w:rFonts w:cs="Arial"/>
          <w:szCs w:val="24"/>
        </w:rPr>
        <w:t>Retail Energy Supply Association</w:t>
      </w:r>
      <w:bookmarkEnd w:id="24"/>
    </w:p>
    <w:p w:rsidR="00E169DC" w:rsidRPr="00321B5E" w:rsidRDefault="00E169DC" w:rsidP="001A4E0D">
      <w:pPr>
        <w:rPr>
          <w:rFonts w:cs="Arial"/>
          <w:szCs w:val="24"/>
        </w:rPr>
      </w:pPr>
    </w:p>
    <w:p w:rsidR="00EA66E4" w:rsidRPr="00321B5E" w:rsidRDefault="00520ED1" w:rsidP="00520ED1">
      <w:pPr>
        <w:ind w:firstLine="720"/>
        <w:rPr>
          <w:rFonts w:cs="Arial"/>
          <w:szCs w:val="24"/>
        </w:rPr>
      </w:pPr>
      <w:r w:rsidRPr="00321B5E">
        <w:rPr>
          <w:rFonts w:cs="Arial"/>
          <w:szCs w:val="24"/>
        </w:rPr>
        <w:t>The Retail Energy Supply Association (RESA) assert</w:t>
      </w:r>
      <w:r w:rsidR="00134F12" w:rsidRPr="00321B5E">
        <w:rPr>
          <w:rFonts w:cs="Arial"/>
          <w:szCs w:val="24"/>
        </w:rPr>
        <w:t>s</w:t>
      </w:r>
      <w:r w:rsidRPr="00321B5E">
        <w:rPr>
          <w:rFonts w:cs="Arial"/>
          <w:szCs w:val="24"/>
        </w:rPr>
        <w:t xml:space="preserve"> that the Authority should decline to place hardship customers on standard service because </w:t>
      </w:r>
      <w:r w:rsidRPr="00321B5E">
        <w:rPr>
          <w:rFonts w:cs="Arial"/>
          <w:color w:val="000000"/>
          <w:szCs w:val="24"/>
          <w:shd w:val="clear" w:color="auto" w:fill="FFFFFF"/>
        </w:rPr>
        <w:t>doing so is not feasible; would impose significant costs on hardship customers, electric suppliers, and Connecticut ratepayers; and the harms outweigh the benefits.  RESA Brief</w:t>
      </w:r>
      <w:r w:rsidR="00134F12" w:rsidRPr="00321B5E">
        <w:rPr>
          <w:rFonts w:cs="Arial"/>
          <w:color w:val="000000"/>
          <w:szCs w:val="24"/>
          <w:shd w:val="clear" w:color="auto" w:fill="FFFFFF"/>
        </w:rPr>
        <w:t>,</w:t>
      </w:r>
      <w:r w:rsidRPr="00321B5E">
        <w:rPr>
          <w:rFonts w:cs="Arial"/>
          <w:color w:val="000000"/>
          <w:szCs w:val="24"/>
          <w:shd w:val="clear" w:color="auto" w:fill="FFFFFF"/>
        </w:rPr>
        <w:t xml:space="preserve"> p. 3.  RESA argue</w:t>
      </w:r>
      <w:r w:rsidR="00134F12" w:rsidRPr="00321B5E">
        <w:rPr>
          <w:rFonts w:cs="Arial"/>
          <w:color w:val="000000"/>
          <w:szCs w:val="24"/>
          <w:shd w:val="clear" w:color="auto" w:fill="FFFFFF"/>
        </w:rPr>
        <w:t>s</w:t>
      </w:r>
      <w:r w:rsidRPr="00321B5E">
        <w:rPr>
          <w:rFonts w:cs="Arial"/>
          <w:color w:val="000000"/>
          <w:szCs w:val="24"/>
          <w:shd w:val="clear" w:color="auto" w:fill="FFFFFF"/>
        </w:rPr>
        <w:t xml:space="preserve"> that </w:t>
      </w:r>
      <w:r w:rsidR="004035F2" w:rsidRPr="00321B5E">
        <w:rPr>
          <w:rFonts w:cs="Arial"/>
          <w:color w:val="000000"/>
          <w:szCs w:val="24"/>
          <w:shd w:val="clear" w:color="auto" w:fill="FFFFFF"/>
        </w:rPr>
        <w:t xml:space="preserve">returning hardship customers to standard service </w:t>
      </w:r>
      <w:r w:rsidR="00134F12" w:rsidRPr="00321B5E">
        <w:rPr>
          <w:rFonts w:cs="Arial"/>
          <w:color w:val="000000"/>
          <w:szCs w:val="24"/>
          <w:shd w:val="clear" w:color="auto" w:fill="FFFFFF"/>
        </w:rPr>
        <w:t xml:space="preserve">is </w:t>
      </w:r>
      <w:r w:rsidR="004035F2" w:rsidRPr="00321B5E">
        <w:rPr>
          <w:rFonts w:cs="Arial"/>
          <w:color w:val="000000"/>
          <w:szCs w:val="24"/>
          <w:shd w:val="clear" w:color="auto" w:fill="FFFFFF"/>
        </w:rPr>
        <w:t xml:space="preserve">not feasible because: 1) </w:t>
      </w:r>
      <w:r w:rsidRPr="00321B5E">
        <w:rPr>
          <w:rFonts w:cs="Arial"/>
          <w:color w:val="000000"/>
          <w:szCs w:val="24"/>
          <w:shd w:val="clear" w:color="auto" w:fill="FFFFFF"/>
        </w:rPr>
        <w:t>the statute violates the Contracts</w:t>
      </w:r>
      <w:r w:rsidR="004035F2" w:rsidRPr="00321B5E">
        <w:rPr>
          <w:rFonts w:cs="Arial"/>
          <w:color w:val="000000"/>
          <w:szCs w:val="24"/>
          <w:shd w:val="clear" w:color="auto" w:fill="FFFFFF"/>
        </w:rPr>
        <w:t xml:space="preserve"> Clause of the U.S. Constitution; and 2) there are numerous practical impediments, such as identifying hardship customers, “ensuring </w:t>
      </w:r>
      <w:r w:rsidR="004035F2" w:rsidRPr="00321B5E">
        <w:rPr>
          <w:rFonts w:cs="Arial"/>
          <w:szCs w:val="24"/>
        </w:rPr>
        <w:t xml:space="preserve">appropriate mechanisms are in place to implement the prohibition, and informing customers of the impacts.”  </w:t>
      </w:r>
      <w:r w:rsidR="004035F2" w:rsidRPr="00321B5E">
        <w:rPr>
          <w:rFonts w:cs="Arial"/>
          <w:i/>
          <w:szCs w:val="24"/>
        </w:rPr>
        <w:t>Id</w:t>
      </w:r>
      <w:r w:rsidR="004035F2" w:rsidRPr="00321B5E">
        <w:rPr>
          <w:rFonts w:cs="Arial"/>
          <w:szCs w:val="24"/>
        </w:rPr>
        <w:t>. at p. 8.</w:t>
      </w:r>
      <w:r w:rsidR="00EA66E4" w:rsidRPr="00321B5E">
        <w:rPr>
          <w:rFonts w:cs="Arial"/>
          <w:szCs w:val="24"/>
        </w:rPr>
        <w:t xml:space="preserve">  </w:t>
      </w:r>
    </w:p>
    <w:p w:rsidR="00EA66E4" w:rsidRPr="00321B5E" w:rsidRDefault="00EA66E4" w:rsidP="00520ED1">
      <w:pPr>
        <w:ind w:firstLine="720"/>
        <w:rPr>
          <w:rFonts w:cs="Arial"/>
          <w:szCs w:val="24"/>
        </w:rPr>
      </w:pPr>
    </w:p>
    <w:p w:rsidR="00131AE3" w:rsidRPr="00321B5E" w:rsidRDefault="00131AE3" w:rsidP="00131AE3">
      <w:pPr>
        <w:ind w:firstLine="720"/>
        <w:rPr>
          <w:rFonts w:cs="Arial"/>
          <w:szCs w:val="24"/>
        </w:rPr>
      </w:pPr>
      <w:r w:rsidRPr="00321B5E">
        <w:rPr>
          <w:rFonts w:cs="Arial"/>
          <w:szCs w:val="24"/>
        </w:rPr>
        <w:t xml:space="preserve">RESA </w:t>
      </w:r>
      <w:r w:rsidR="00134F12" w:rsidRPr="00321B5E">
        <w:rPr>
          <w:rFonts w:cs="Arial"/>
          <w:szCs w:val="24"/>
        </w:rPr>
        <w:t xml:space="preserve">does </w:t>
      </w:r>
      <w:r w:rsidRPr="00321B5E">
        <w:rPr>
          <w:rFonts w:cs="Arial"/>
          <w:szCs w:val="24"/>
        </w:rPr>
        <w:t>not dispute that that for the period OCC examined, “[I]t appears that most hardship customers paid more with their competitive supplier than they would have paid had they remained with standard service”</w:t>
      </w:r>
      <w:r w:rsidR="00C45E40" w:rsidRPr="00321B5E">
        <w:rPr>
          <w:rFonts w:cs="Arial"/>
          <w:szCs w:val="24"/>
        </w:rPr>
        <w:t>;</w:t>
      </w:r>
      <w:r w:rsidRPr="00321B5E">
        <w:rPr>
          <w:rFonts w:cs="Arial"/>
          <w:szCs w:val="24"/>
        </w:rPr>
        <w:t xml:space="preserve"> however, RESA argue</w:t>
      </w:r>
      <w:r w:rsidR="00134F12" w:rsidRPr="00321B5E">
        <w:rPr>
          <w:rFonts w:cs="Arial"/>
          <w:szCs w:val="24"/>
        </w:rPr>
        <w:t>s</w:t>
      </w:r>
      <w:r w:rsidRPr="00321B5E">
        <w:rPr>
          <w:rFonts w:cs="Arial"/>
          <w:szCs w:val="24"/>
        </w:rPr>
        <w:t xml:space="preserve"> that a historical comparison does not offer information going forward. </w:t>
      </w:r>
      <w:r w:rsidR="00D7470A" w:rsidRPr="00321B5E">
        <w:rPr>
          <w:rFonts w:cs="Arial"/>
          <w:szCs w:val="24"/>
        </w:rPr>
        <w:t xml:space="preserve"> </w:t>
      </w:r>
      <w:r w:rsidR="00A43153" w:rsidRPr="00321B5E">
        <w:rPr>
          <w:rFonts w:cs="Arial"/>
          <w:szCs w:val="24"/>
        </w:rPr>
        <w:t>Pre</w:t>
      </w:r>
      <w:r w:rsidR="00C45E40" w:rsidRPr="00321B5E">
        <w:rPr>
          <w:rFonts w:cs="Arial"/>
          <w:szCs w:val="24"/>
        </w:rPr>
        <w:t>-</w:t>
      </w:r>
      <w:r w:rsidR="00A43153" w:rsidRPr="00321B5E">
        <w:rPr>
          <w:rFonts w:cs="Arial"/>
          <w:szCs w:val="24"/>
        </w:rPr>
        <w:t xml:space="preserve">filed Testimony </w:t>
      </w:r>
      <w:r w:rsidR="00134F12" w:rsidRPr="00321B5E">
        <w:rPr>
          <w:rFonts w:cs="Arial"/>
          <w:szCs w:val="24"/>
        </w:rPr>
        <w:t xml:space="preserve">(PFT) </w:t>
      </w:r>
      <w:r w:rsidR="00A43153" w:rsidRPr="00321B5E">
        <w:rPr>
          <w:rFonts w:cs="Arial"/>
          <w:szCs w:val="24"/>
        </w:rPr>
        <w:t>of Richard J. Hudson, Jr.,</w:t>
      </w:r>
      <w:r w:rsidRPr="00321B5E">
        <w:rPr>
          <w:rFonts w:cs="Arial"/>
          <w:szCs w:val="24"/>
        </w:rPr>
        <w:t xml:space="preserve"> p. 10.  </w:t>
      </w:r>
      <w:r w:rsidR="00EA66E4" w:rsidRPr="00321B5E">
        <w:rPr>
          <w:rFonts w:cs="Arial"/>
          <w:szCs w:val="24"/>
        </w:rPr>
        <w:t>RESA argue</w:t>
      </w:r>
      <w:r w:rsidR="00134F12" w:rsidRPr="00321B5E">
        <w:rPr>
          <w:rFonts w:cs="Arial"/>
          <w:szCs w:val="24"/>
        </w:rPr>
        <w:t>s</w:t>
      </w:r>
      <w:r w:rsidR="00EA66E4" w:rsidRPr="00321B5E">
        <w:rPr>
          <w:rFonts w:cs="Arial"/>
          <w:szCs w:val="24"/>
        </w:rPr>
        <w:t>, “Price savings have been historically available to customers for years</w:t>
      </w:r>
      <w:r w:rsidRPr="00321B5E">
        <w:rPr>
          <w:rFonts w:cs="Arial"/>
          <w:szCs w:val="24"/>
        </w:rPr>
        <w:t xml:space="preserve">.”  RESA Brief p. 14.  </w:t>
      </w:r>
      <w:r w:rsidR="00134F12" w:rsidRPr="00321B5E">
        <w:rPr>
          <w:rFonts w:cs="Arial"/>
          <w:szCs w:val="24"/>
        </w:rPr>
        <w:t>In its Pre</w:t>
      </w:r>
      <w:r w:rsidR="00C45E40" w:rsidRPr="00321B5E">
        <w:rPr>
          <w:rFonts w:cs="Arial"/>
          <w:szCs w:val="24"/>
        </w:rPr>
        <w:t>-</w:t>
      </w:r>
      <w:r w:rsidR="00134F12" w:rsidRPr="00321B5E">
        <w:rPr>
          <w:rFonts w:cs="Arial"/>
          <w:szCs w:val="24"/>
        </w:rPr>
        <w:t xml:space="preserve">filed Testimony, </w:t>
      </w:r>
      <w:r w:rsidRPr="00321B5E">
        <w:rPr>
          <w:rFonts w:cs="Arial"/>
          <w:szCs w:val="24"/>
        </w:rPr>
        <w:t>RESA conduct</w:t>
      </w:r>
      <w:r w:rsidR="00134F12" w:rsidRPr="00321B5E">
        <w:rPr>
          <w:rFonts w:cs="Arial"/>
          <w:szCs w:val="24"/>
        </w:rPr>
        <w:t>s</w:t>
      </w:r>
      <w:r w:rsidRPr="00321B5E">
        <w:rPr>
          <w:rFonts w:cs="Arial"/>
          <w:szCs w:val="24"/>
        </w:rPr>
        <w:t xml:space="preserve"> an analysis based on one supply offer and conclude</w:t>
      </w:r>
      <w:r w:rsidR="00134F12" w:rsidRPr="00321B5E">
        <w:rPr>
          <w:rFonts w:cs="Arial"/>
          <w:szCs w:val="24"/>
        </w:rPr>
        <w:t>s</w:t>
      </w:r>
      <w:r w:rsidRPr="00321B5E">
        <w:rPr>
          <w:rFonts w:cs="Arial"/>
          <w:szCs w:val="24"/>
        </w:rPr>
        <w:t xml:space="preserve"> that hardship customers could have saved over standard service had every hardship customer participated in this offer.  </w:t>
      </w:r>
      <w:r w:rsidR="00A43153" w:rsidRPr="00321B5E">
        <w:rPr>
          <w:rFonts w:cs="Arial"/>
          <w:szCs w:val="24"/>
        </w:rPr>
        <w:t>Hudson PFT</w:t>
      </w:r>
      <w:r w:rsidR="00134F12" w:rsidRPr="00321B5E">
        <w:rPr>
          <w:rFonts w:cs="Arial"/>
          <w:szCs w:val="24"/>
        </w:rPr>
        <w:t>,</w:t>
      </w:r>
      <w:r w:rsidR="00A43153" w:rsidRPr="00321B5E">
        <w:rPr>
          <w:rFonts w:cs="Arial"/>
          <w:szCs w:val="24"/>
        </w:rPr>
        <w:t xml:space="preserve"> </w:t>
      </w:r>
      <w:r w:rsidRPr="00321B5E">
        <w:rPr>
          <w:rFonts w:cs="Arial"/>
          <w:szCs w:val="24"/>
        </w:rPr>
        <w:t xml:space="preserve">p. 25. </w:t>
      </w:r>
    </w:p>
    <w:p w:rsidR="00131AE3" w:rsidRPr="00321B5E" w:rsidRDefault="00131AE3" w:rsidP="00131AE3">
      <w:pPr>
        <w:ind w:firstLine="720"/>
        <w:rPr>
          <w:rFonts w:cs="Arial"/>
          <w:szCs w:val="24"/>
        </w:rPr>
      </w:pPr>
    </w:p>
    <w:p w:rsidR="00EA66E4" w:rsidRPr="00321B5E" w:rsidRDefault="00131AE3" w:rsidP="00A43153">
      <w:pPr>
        <w:ind w:firstLine="720"/>
        <w:rPr>
          <w:rFonts w:cs="Arial"/>
          <w:szCs w:val="24"/>
        </w:rPr>
      </w:pPr>
      <w:r w:rsidRPr="00321B5E">
        <w:rPr>
          <w:rFonts w:cs="Arial"/>
          <w:szCs w:val="24"/>
        </w:rPr>
        <w:t>RESA also argue</w:t>
      </w:r>
      <w:r w:rsidR="00134F12" w:rsidRPr="00321B5E">
        <w:rPr>
          <w:rFonts w:cs="Arial"/>
          <w:szCs w:val="24"/>
        </w:rPr>
        <w:t>s</w:t>
      </w:r>
      <w:r w:rsidRPr="00321B5E">
        <w:rPr>
          <w:rFonts w:cs="Arial"/>
          <w:szCs w:val="24"/>
        </w:rPr>
        <w:t xml:space="preserve"> </w:t>
      </w:r>
      <w:r w:rsidR="00EA66E4" w:rsidRPr="00321B5E">
        <w:rPr>
          <w:rFonts w:cs="Arial"/>
          <w:szCs w:val="24"/>
        </w:rPr>
        <w:t xml:space="preserve">that competitive supply </w:t>
      </w:r>
      <w:r w:rsidR="00A43153" w:rsidRPr="00321B5E">
        <w:rPr>
          <w:rFonts w:cs="Arial"/>
          <w:szCs w:val="24"/>
        </w:rPr>
        <w:t>gives</w:t>
      </w:r>
      <w:r w:rsidR="00EA66E4" w:rsidRPr="00321B5E">
        <w:rPr>
          <w:rFonts w:cs="Arial"/>
          <w:szCs w:val="24"/>
        </w:rPr>
        <w:t xml:space="preserve"> customers price stability</w:t>
      </w:r>
      <w:r w:rsidRPr="00321B5E">
        <w:rPr>
          <w:rFonts w:cs="Arial"/>
          <w:szCs w:val="24"/>
        </w:rPr>
        <w:t xml:space="preserve"> and </w:t>
      </w:r>
      <w:r w:rsidR="00EA66E4" w:rsidRPr="00321B5E">
        <w:rPr>
          <w:rFonts w:cs="Arial"/>
          <w:szCs w:val="24"/>
        </w:rPr>
        <w:t xml:space="preserve">competitive supply offers can include “additional value,” such as “premium renewable energy content, enrollment rewards, and devices that enhance the efficient use of energy.”  </w:t>
      </w:r>
      <w:r w:rsidRPr="00321B5E">
        <w:rPr>
          <w:rFonts w:cs="Arial"/>
          <w:szCs w:val="24"/>
        </w:rPr>
        <w:t>RESA B</w:t>
      </w:r>
      <w:r w:rsidR="00A43153" w:rsidRPr="00321B5E">
        <w:rPr>
          <w:rFonts w:cs="Arial"/>
          <w:szCs w:val="24"/>
        </w:rPr>
        <w:t>rief</w:t>
      </w:r>
      <w:r w:rsidR="00D206C5" w:rsidRPr="00321B5E">
        <w:rPr>
          <w:rFonts w:cs="Arial"/>
          <w:szCs w:val="24"/>
        </w:rPr>
        <w:t>,</w:t>
      </w:r>
      <w:r w:rsidR="00EA66E4" w:rsidRPr="00321B5E">
        <w:rPr>
          <w:rFonts w:cs="Arial"/>
          <w:szCs w:val="24"/>
        </w:rPr>
        <w:t xml:space="preserve"> p. 16</w:t>
      </w:r>
      <w:r w:rsidR="000D7E82" w:rsidRPr="00321B5E">
        <w:rPr>
          <w:rFonts w:cs="Arial"/>
          <w:szCs w:val="24"/>
        </w:rPr>
        <w:t>.  As a result, RESA argue</w:t>
      </w:r>
      <w:r w:rsidR="00D206C5" w:rsidRPr="00321B5E">
        <w:rPr>
          <w:rFonts w:cs="Arial"/>
          <w:szCs w:val="24"/>
        </w:rPr>
        <w:t>s</w:t>
      </w:r>
      <w:r w:rsidR="000D7E82" w:rsidRPr="00321B5E">
        <w:rPr>
          <w:rFonts w:cs="Arial"/>
          <w:szCs w:val="24"/>
        </w:rPr>
        <w:t xml:space="preserve"> that price should not be the sole factor used in the Authority’s evaluation. </w:t>
      </w:r>
      <w:r w:rsidR="00A43153" w:rsidRPr="00321B5E">
        <w:rPr>
          <w:rFonts w:cs="Arial"/>
          <w:szCs w:val="24"/>
        </w:rPr>
        <w:t>Hudson PFT</w:t>
      </w:r>
      <w:r w:rsidR="00D206C5" w:rsidRPr="00321B5E">
        <w:rPr>
          <w:rFonts w:cs="Arial"/>
          <w:szCs w:val="24"/>
        </w:rPr>
        <w:t>,</w:t>
      </w:r>
      <w:r w:rsidR="00A43153" w:rsidRPr="00321B5E">
        <w:rPr>
          <w:rFonts w:cs="Arial"/>
          <w:szCs w:val="24"/>
        </w:rPr>
        <w:t xml:space="preserve"> </w:t>
      </w:r>
      <w:r w:rsidR="000D7E82" w:rsidRPr="00321B5E">
        <w:rPr>
          <w:rFonts w:cs="Arial"/>
          <w:szCs w:val="24"/>
        </w:rPr>
        <w:t>p. 31-39.</w:t>
      </w:r>
      <w:r w:rsidR="00B7287E" w:rsidRPr="00321B5E">
        <w:rPr>
          <w:rFonts w:cs="Arial"/>
          <w:szCs w:val="24"/>
        </w:rPr>
        <w:t xml:space="preserve">  </w:t>
      </w:r>
      <w:r w:rsidR="00EA66E4" w:rsidRPr="00321B5E">
        <w:rPr>
          <w:rFonts w:cs="Arial"/>
          <w:szCs w:val="24"/>
        </w:rPr>
        <w:t xml:space="preserve">RESA </w:t>
      </w:r>
      <w:r w:rsidR="00A43153" w:rsidRPr="00321B5E">
        <w:rPr>
          <w:rFonts w:cs="Arial"/>
          <w:szCs w:val="24"/>
        </w:rPr>
        <w:t xml:space="preserve">further </w:t>
      </w:r>
      <w:r w:rsidR="00EA66E4" w:rsidRPr="00321B5E">
        <w:rPr>
          <w:rFonts w:cs="Arial"/>
          <w:szCs w:val="24"/>
        </w:rPr>
        <w:t>argue</w:t>
      </w:r>
      <w:r w:rsidR="00D206C5" w:rsidRPr="00321B5E">
        <w:rPr>
          <w:rFonts w:cs="Arial"/>
          <w:szCs w:val="24"/>
        </w:rPr>
        <w:t>s</w:t>
      </w:r>
      <w:r w:rsidR="00EA66E4" w:rsidRPr="00321B5E">
        <w:rPr>
          <w:rFonts w:cs="Arial"/>
          <w:szCs w:val="24"/>
        </w:rPr>
        <w:t xml:space="preserve"> that </w:t>
      </w:r>
      <w:r w:rsidR="00B7025A" w:rsidRPr="00321B5E">
        <w:rPr>
          <w:rFonts w:cs="Arial"/>
          <w:szCs w:val="24"/>
        </w:rPr>
        <w:t xml:space="preserve">the current consumer protections should be relied on rather than removing choice from hardship customers. </w:t>
      </w:r>
      <w:r w:rsidR="00B7025A" w:rsidRPr="00321B5E">
        <w:rPr>
          <w:rFonts w:cs="Arial"/>
          <w:i/>
          <w:iCs/>
          <w:szCs w:val="24"/>
        </w:rPr>
        <w:t>Id</w:t>
      </w:r>
      <w:r w:rsidR="00B7025A" w:rsidRPr="00321B5E">
        <w:rPr>
          <w:rFonts w:cs="Arial"/>
          <w:szCs w:val="24"/>
        </w:rPr>
        <w:t xml:space="preserve">. at p. 20.  </w:t>
      </w:r>
    </w:p>
    <w:p w:rsidR="00AF64D2" w:rsidRPr="00321B5E" w:rsidRDefault="00AF64D2" w:rsidP="001A4E0D">
      <w:pPr>
        <w:rPr>
          <w:rFonts w:cs="Arial"/>
          <w:szCs w:val="24"/>
        </w:rPr>
      </w:pPr>
    </w:p>
    <w:p w:rsidR="00E169DC" w:rsidRPr="00321B5E" w:rsidRDefault="00E169DC" w:rsidP="00E169DC">
      <w:pPr>
        <w:pStyle w:val="Heading2"/>
        <w:rPr>
          <w:rFonts w:cs="Arial"/>
          <w:szCs w:val="24"/>
        </w:rPr>
      </w:pPr>
      <w:bookmarkStart w:id="25" w:name="_Toc26174993"/>
      <w:r w:rsidRPr="00321B5E">
        <w:rPr>
          <w:rFonts w:cs="Arial"/>
          <w:szCs w:val="24"/>
        </w:rPr>
        <w:t>Direct Energy Business, LLC/Direct Energy Services, LLC</w:t>
      </w:r>
      <w:bookmarkEnd w:id="25"/>
    </w:p>
    <w:p w:rsidR="00F90944" w:rsidRPr="00321B5E" w:rsidRDefault="00F90944" w:rsidP="001A4E0D">
      <w:pPr>
        <w:rPr>
          <w:rFonts w:cs="Arial"/>
          <w:szCs w:val="24"/>
        </w:rPr>
      </w:pPr>
    </w:p>
    <w:p w:rsidR="00D206C5" w:rsidRPr="00321B5E" w:rsidRDefault="00AF64D2" w:rsidP="001A4E0D">
      <w:pPr>
        <w:rPr>
          <w:rFonts w:cs="Arial"/>
          <w:szCs w:val="24"/>
        </w:rPr>
      </w:pPr>
      <w:r w:rsidRPr="00321B5E">
        <w:rPr>
          <w:rFonts w:cs="Arial"/>
          <w:szCs w:val="24"/>
        </w:rPr>
        <w:tab/>
      </w:r>
      <w:r w:rsidR="000428D1" w:rsidRPr="00321B5E">
        <w:rPr>
          <w:rFonts w:cs="Arial"/>
          <w:szCs w:val="24"/>
        </w:rPr>
        <w:t xml:space="preserve">In its </w:t>
      </w:r>
      <w:r w:rsidR="00D7470A" w:rsidRPr="00321B5E">
        <w:rPr>
          <w:rFonts w:cs="Arial"/>
          <w:szCs w:val="24"/>
        </w:rPr>
        <w:t xml:space="preserve">Letter in Lieu of </w:t>
      </w:r>
      <w:r w:rsidR="000428D1" w:rsidRPr="00321B5E">
        <w:rPr>
          <w:rFonts w:cs="Arial"/>
          <w:szCs w:val="24"/>
        </w:rPr>
        <w:t xml:space="preserve">Brief, Direct Energy Business, LLC and Direct Energy Services, LLC (collectively, </w:t>
      </w:r>
      <w:proofErr w:type="gramStart"/>
      <w:r w:rsidR="000428D1" w:rsidRPr="00321B5E">
        <w:rPr>
          <w:rFonts w:cs="Arial"/>
          <w:szCs w:val="24"/>
        </w:rPr>
        <w:t>Direct</w:t>
      </w:r>
      <w:proofErr w:type="gramEnd"/>
      <w:r w:rsidR="000428D1" w:rsidRPr="00321B5E">
        <w:rPr>
          <w:rFonts w:cs="Arial"/>
          <w:szCs w:val="24"/>
        </w:rPr>
        <w:t>) recommend</w:t>
      </w:r>
      <w:r w:rsidR="00D206C5" w:rsidRPr="00321B5E">
        <w:rPr>
          <w:rFonts w:cs="Arial"/>
          <w:szCs w:val="24"/>
        </w:rPr>
        <w:t>s</w:t>
      </w:r>
      <w:r w:rsidR="000428D1" w:rsidRPr="00321B5E">
        <w:rPr>
          <w:rFonts w:cs="Arial"/>
          <w:szCs w:val="24"/>
        </w:rPr>
        <w:t xml:space="preserve"> that the Authority reject the proposal put forward from the OCC to prohibit hardship customers </w:t>
      </w:r>
      <w:r w:rsidR="00D7470A" w:rsidRPr="00321B5E">
        <w:rPr>
          <w:rFonts w:cs="Arial"/>
          <w:szCs w:val="24"/>
        </w:rPr>
        <w:t>from enrolling</w:t>
      </w:r>
      <w:r w:rsidR="000428D1" w:rsidRPr="00321B5E">
        <w:rPr>
          <w:rFonts w:cs="Arial"/>
          <w:szCs w:val="24"/>
        </w:rPr>
        <w:t xml:space="preserve"> with a third-party electric supplier.  Direct contends that the OCC’s analysis is based upon aggregate billing data that ignores the fact that prices in the competitive market can constantly change in response to factors such as seasonal demand, market forces and </w:t>
      </w:r>
      <w:r w:rsidR="000428D1" w:rsidRPr="00321B5E">
        <w:rPr>
          <w:rFonts w:cs="Arial"/>
          <w:szCs w:val="24"/>
        </w:rPr>
        <w:lastRenderedPageBreak/>
        <w:t xml:space="preserve">consumer product tastes and preferences such as renewable energy, smart energy devices, reward points, or other value-added offerings.  </w:t>
      </w:r>
      <w:r w:rsidR="00D7470A" w:rsidRPr="00321B5E">
        <w:rPr>
          <w:rFonts w:cs="Arial"/>
          <w:i/>
          <w:szCs w:val="24"/>
        </w:rPr>
        <w:t>Id</w:t>
      </w:r>
      <w:r w:rsidR="00D7470A" w:rsidRPr="00321B5E">
        <w:rPr>
          <w:rFonts w:cs="Arial"/>
          <w:szCs w:val="24"/>
        </w:rPr>
        <w:t>. at</w:t>
      </w:r>
      <w:r w:rsidR="000428D1" w:rsidRPr="00321B5E">
        <w:rPr>
          <w:rFonts w:cs="Arial"/>
          <w:szCs w:val="24"/>
        </w:rPr>
        <w:t xml:space="preserve"> pp. 1</w:t>
      </w:r>
      <w:r w:rsidR="00D7470A" w:rsidRPr="00321B5E">
        <w:rPr>
          <w:rFonts w:cs="Arial"/>
          <w:szCs w:val="24"/>
        </w:rPr>
        <w:t>-</w:t>
      </w:r>
      <w:r w:rsidR="000428D1" w:rsidRPr="00321B5E">
        <w:rPr>
          <w:rFonts w:cs="Arial"/>
          <w:szCs w:val="24"/>
        </w:rPr>
        <w:t>2.</w:t>
      </w:r>
      <w:r w:rsidR="001E0540" w:rsidRPr="00321B5E">
        <w:rPr>
          <w:rFonts w:cs="Arial"/>
          <w:szCs w:val="24"/>
        </w:rPr>
        <w:t xml:space="preserve">  According to Direct, the OCC’s analysis unfairly </w:t>
      </w:r>
      <w:r w:rsidR="00D206C5" w:rsidRPr="00321B5E">
        <w:rPr>
          <w:rFonts w:cs="Arial"/>
          <w:szCs w:val="24"/>
        </w:rPr>
        <w:t>discounts</w:t>
      </w:r>
      <w:r w:rsidR="001E0540" w:rsidRPr="00321B5E">
        <w:rPr>
          <w:rFonts w:cs="Arial"/>
          <w:szCs w:val="24"/>
        </w:rPr>
        <w:t xml:space="preserve"> any opportunity for savings offered through competitive suppliers, noting that third-party suppliers can and do offer savings as compared to the standard service offer.  </w:t>
      </w:r>
      <w:r w:rsidR="00D206C5" w:rsidRPr="00321B5E">
        <w:rPr>
          <w:rFonts w:cs="Arial"/>
          <w:i/>
          <w:szCs w:val="24"/>
        </w:rPr>
        <w:t>Id</w:t>
      </w:r>
      <w:r w:rsidR="00D206C5" w:rsidRPr="00321B5E">
        <w:rPr>
          <w:rFonts w:cs="Arial"/>
          <w:szCs w:val="24"/>
        </w:rPr>
        <w:t xml:space="preserve">.  </w:t>
      </w:r>
    </w:p>
    <w:p w:rsidR="00D206C5" w:rsidRPr="00321B5E" w:rsidRDefault="00D206C5" w:rsidP="001A4E0D">
      <w:pPr>
        <w:rPr>
          <w:rFonts w:cs="Arial"/>
          <w:szCs w:val="24"/>
        </w:rPr>
      </w:pPr>
    </w:p>
    <w:p w:rsidR="001E0540" w:rsidRPr="00321B5E" w:rsidRDefault="001E0540" w:rsidP="001A4E0D">
      <w:pPr>
        <w:rPr>
          <w:rFonts w:cs="Arial"/>
          <w:szCs w:val="24"/>
        </w:rPr>
      </w:pPr>
      <w:r w:rsidRPr="00321B5E">
        <w:rPr>
          <w:rFonts w:cs="Arial"/>
          <w:szCs w:val="24"/>
        </w:rPr>
        <w:tab/>
      </w:r>
      <w:r w:rsidR="009675D0" w:rsidRPr="00321B5E">
        <w:rPr>
          <w:rFonts w:cs="Arial"/>
          <w:szCs w:val="24"/>
        </w:rPr>
        <w:t>Direct notes that the EDCs provided preliminary cost proposals to the Authority, but all of these estimates would be subject to change</w:t>
      </w:r>
      <w:r w:rsidR="003B2641" w:rsidRPr="00321B5E">
        <w:rPr>
          <w:rFonts w:cs="Arial"/>
          <w:szCs w:val="24"/>
        </w:rPr>
        <w:t xml:space="preserve"> because</w:t>
      </w:r>
      <w:r w:rsidR="009675D0" w:rsidRPr="00321B5E">
        <w:rPr>
          <w:rFonts w:cs="Arial"/>
          <w:szCs w:val="24"/>
        </w:rPr>
        <w:t xml:space="preserve">   changes in EDC customer billing systems can be costly, complicated</w:t>
      </w:r>
      <w:r w:rsidR="003B2641" w:rsidRPr="00321B5E">
        <w:rPr>
          <w:rFonts w:cs="Arial"/>
          <w:szCs w:val="24"/>
        </w:rPr>
        <w:t>,</w:t>
      </w:r>
      <w:r w:rsidR="009675D0" w:rsidRPr="00321B5E">
        <w:rPr>
          <w:rFonts w:cs="Arial"/>
          <w:szCs w:val="24"/>
        </w:rPr>
        <w:t xml:space="preserve"> and involve subsequent adjustments in order to achieve the desired results.  </w:t>
      </w:r>
      <w:r w:rsidR="009675D0" w:rsidRPr="00321B5E">
        <w:rPr>
          <w:rFonts w:cs="Arial"/>
          <w:i/>
          <w:iCs/>
          <w:szCs w:val="24"/>
        </w:rPr>
        <w:t>Id</w:t>
      </w:r>
      <w:r w:rsidR="009675D0" w:rsidRPr="00321B5E">
        <w:rPr>
          <w:rFonts w:cs="Arial"/>
          <w:szCs w:val="24"/>
        </w:rPr>
        <w:t xml:space="preserve">. </w:t>
      </w:r>
      <w:r w:rsidR="00D206C5" w:rsidRPr="00321B5E">
        <w:rPr>
          <w:rFonts w:cs="Arial"/>
          <w:szCs w:val="24"/>
        </w:rPr>
        <w:t xml:space="preserve">at </w:t>
      </w:r>
      <w:r w:rsidR="009675D0" w:rsidRPr="00321B5E">
        <w:rPr>
          <w:rFonts w:cs="Arial"/>
          <w:szCs w:val="24"/>
        </w:rPr>
        <w:t>p. 3.  Direct also contends that the estimates provided by the EDC only contemplate the situation involving a customer coded as hardship at the time of a potential enrollm</w:t>
      </w:r>
      <w:r w:rsidR="00477C63" w:rsidRPr="00321B5E">
        <w:rPr>
          <w:rFonts w:cs="Arial"/>
          <w:szCs w:val="24"/>
        </w:rPr>
        <w:t xml:space="preserve">ent.  </w:t>
      </w:r>
      <w:r w:rsidR="003B2641" w:rsidRPr="00321B5E">
        <w:rPr>
          <w:rFonts w:cs="Arial"/>
          <w:i/>
          <w:szCs w:val="24"/>
        </w:rPr>
        <w:t>Id</w:t>
      </w:r>
      <w:r w:rsidR="003B2641" w:rsidRPr="00321B5E">
        <w:rPr>
          <w:rFonts w:cs="Arial"/>
          <w:szCs w:val="24"/>
        </w:rPr>
        <w:t xml:space="preserve">.  </w:t>
      </w:r>
      <w:r w:rsidR="00477C63" w:rsidRPr="00321B5E">
        <w:rPr>
          <w:rFonts w:cs="Arial"/>
          <w:szCs w:val="24"/>
        </w:rPr>
        <w:t>Direct note</w:t>
      </w:r>
      <w:r w:rsidR="00D206C5" w:rsidRPr="00321B5E">
        <w:rPr>
          <w:rFonts w:cs="Arial"/>
          <w:szCs w:val="24"/>
        </w:rPr>
        <w:t>s</w:t>
      </w:r>
      <w:r w:rsidR="00477C63" w:rsidRPr="00321B5E">
        <w:rPr>
          <w:rFonts w:cs="Arial"/>
          <w:szCs w:val="24"/>
        </w:rPr>
        <w:t xml:space="preserve"> that a customer’s choice of a third-</w:t>
      </w:r>
      <w:r w:rsidR="004035F2" w:rsidRPr="00321B5E">
        <w:rPr>
          <w:rFonts w:cs="Arial"/>
          <w:szCs w:val="24"/>
        </w:rPr>
        <w:t>party</w:t>
      </w:r>
      <w:r w:rsidR="00477C63" w:rsidRPr="00321B5E">
        <w:rPr>
          <w:rFonts w:cs="Arial"/>
          <w:szCs w:val="24"/>
        </w:rPr>
        <w:t xml:space="preserve"> supplier can and does change independently of their hardship status.  </w:t>
      </w:r>
      <w:r w:rsidR="003B2641" w:rsidRPr="00321B5E">
        <w:rPr>
          <w:rFonts w:cs="Arial"/>
          <w:i/>
          <w:szCs w:val="24"/>
        </w:rPr>
        <w:t>Id</w:t>
      </w:r>
      <w:r w:rsidR="003B2641" w:rsidRPr="00321B5E">
        <w:rPr>
          <w:rFonts w:cs="Arial"/>
          <w:szCs w:val="24"/>
        </w:rPr>
        <w:t xml:space="preserve">.  </w:t>
      </w:r>
      <w:r w:rsidR="00C45E40" w:rsidRPr="00321B5E">
        <w:rPr>
          <w:rFonts w:cs="Arial"/>
          <w:szCs w:val="24"/>
        </w:rPr>
        <w:t>Direct contends that t</w:t>
      </w:r>
      <w:r w:rsidR="00477C63" w:rsidRPr="00321B5E">
        <w:rPr>
          <w:rFonts w:cs="Arial"/>
          <w:szCs w:val="24"/>
        </w:rPr>
        <w:t xml:space="preserve">he proposal offered by the OCC will not take into account changes in a customer’s hardship status nor </w:t>
      </w:r>
      <w:r w:rsidR="004035F2" w:rsidRPr="00321B5E">
        <w:rPr>
          <w:rFonts w:cs="Arial"/>
          <w:szCs w:val="24"/>
        </w:rPr>
        <w:t>is</w:t>
      </w:r>
      <w:r w:rsidR="00477C63" w:rsidRPr="00321B5E">
        <w:rPr>
          <w:rFonts w:cs="Arial"/>
          <w:szCs w:val="24"/>
        </w:rPr>
        <w:t xml:space="preserve"> it effective and workable within the</w:t>
      </w:r>
      <w:r w:rsidR="007D7775" w:rsidRPr="00321B5E">
        <w:rPr>
          <w:rFonts w:cs="Arial"/>
          <w:szCs w:val="24"/>
        </w:rPr>
        <w:t xml:space="preserve"> current Electronic Data Interchange process.  </w:t>
      </w:r>
      <w:r w:rsidR="00977B21" w:rsidRPr="00321B5E">
        <w:rPr>
          <w:rFonts w:cs="Arial"/>
          <w:i/>
          <w:iCs/>
          <w:szCs w:val="24"/>
        </w:rPr>
        <w:t>Id</w:t>
      </w:r>
      <w:r w:rsidR="00977B21" w:rsidRPr="00321B5E">
        <w:rPr>
          <w:rFonts w:cs="Arial"/>
          <w:szCs w:val="24"/>
        </w:rPr>
        <w:t>.</w:t>
      </w:r>
    </w:p>
    <w:p w:rsidR="00977B21" w:rsidRPr="00321B5E" w:rsidRDefault="00977B21" w:rsidP="001A4E0D">
      <w:pPr>
        <w:rPr>
          <w:rFonts w:cs="Arial"/>
          <w:szCs w:val="24"/>
        </w:rPr>
      </w:pPr>
    </w:p>
    <w:p w:rsidR="00977B21" w:rsidRPr="00321B5E" w:rsidRDefault="00977B21" w:rsidP="001A4E0D">
      <w:pPr>
        <w:rPr>
          <w:rFonts w:cs="Arial"/>
          <w:szCs w:val="24"/>
        </w:rPr>
      </w:pPr>
      <w:r w:rsidRPr="00321B5E">
        <w:rPr>
          <w:rFonts w:cs="Arial"/>
          <w:szCs w:val="24"/>
        </w:rPr>
        <w:tab/>
        <w:t>Finally, Direct argue</w:t>
      </w:r>
      <w:r w:rsidR="00D206C5" w:rsidRPr="00321B5E">
        <w:rPr>
          <w:rFonts w:cs="Arial"/>
          <w:szCs w:val="24"/>
        </w:rPr>
        <w:t>s</w:t>
      </w:r>
      <w:r w:rsidRPr="00321B5E">
        <w:rPr>
          <w:rFonts w:cs="Arial"/>
          <w:szCs w:val="24"/>
        </w:rPr>
        <w:t xml:space="preserve"> that restricting customer choice is not the appropriate mechanism to address any </w:t>
      </w:r>
      <w:r w:rsidR="004035F2" w:rsidRPr="00321B5E">
        <w:rPr>
          <w:rFonts w:cs="Arial"/>
          <w:szCs w:val="24"/>
        </w:rPr>
        <w:t>potential</w:t>
      </w:r>
      <w:r w:rsidRPr="00321B5E">
        <w:rPr>
          <w:rFonts w:cs="Arial"/>
          <w:szCs w:val="24"/>
        </w:rPr>
        <w:t xml:space="preserve"> issues in which hardship customers are not sufficiently benefiting </w:t>
      </w:r>
      <w:r w:rsidR="004035F2" w:rsidRPr="00321B5E">
        <w:rPr>
          <w:rFonts w:cs="Arial"/>
          <w:szCs w:val="24"/>
        </w:rPr>
        <w:t>from</w:t>
      </w:r>
      <w:r w:rsidRPr="00321B5E">
        <w:rPr>
          <w:rFonts w:cs="Arial"/>
          <w:szCs w:val="24"/>
        </w:rPr>
        <w:t xml:space="preserve"> the competitive marketplace.  </w:t>
      </w:r>
      <w:r w:rsidR="003B2641" w:rsidRPr="00321B5E">
        <w:rPr>
          <w:rFonts w:cs="Arial"/>
          <w:i/>
          <w:szCs w:val="24"/>
        </w:rPr>
        <w:t>Id</w:t>
      </w:r>
      <w:r w:rsidR="003B2641" w:rsidRPr="00321B5E">
        <w:rPr>
          <w:rFonts w:cs="Arial"/>
          <w:szCs w:val="24"/>
        </w:rPr>
        <w:t xml:space="preserve">. at p. 4.  </w:t>
      </w:r>
      <w:r w:rsidRPr="00321B5E">
        <w:rPr>
          <w:rFonts w:cs="Arial"/>
          <w:szCs w:val="24"/>
        </w:rPr>
        <w:t xml:space="preserve">According to Direct, removing the ability of all hardship customers to choose their electricity provider is a blunt and paternalistic solution that would ignore the agency of the hardship customer to act independently and to choose like any other customer.  </w:t>
      </w:r>
      <w:r w:rsidR="003B2641" w:rsidRPr="00321B5E">
        <w:rPr>
          <w:rFonts w:cs="Arial"/>
          <w:i/>
          <w:szCs w:val="24"/>
        </w:rPr>
        <w:t>Id</w:t>
      </w:r>
      <w:r w:rsidR="003B2641" w:rsidRPr="00321B5E">
        <w:rPr>
          <w:rFonts w:cs="Arial"/>
          <w:szCs w:val="24"/>
        </w:rPr>
        <w:t xml:space="preserve">.  </w:t>
      </w:r>
      <w:r w:rsidRPr="00321B5E">
        <w:rPr>
          <w:rFonts w:cs="Arial"/>
          <w:szCs w:val="24"/>
        </w:rPr>
        <w:t xml:space="preserve">Direct, similar to RESA, believes that ending retail choice for hardship customers is not the only option available to the Authority.  </w:t>
      </w:r>
      <w:r w:rsidR="003B2641" w:rsidRPr="00321B5E">
        <w:rPr>
          <w:rFonts w:cs="Arial"/>
          <w:i/>
          <w:szCs w:val="24"/>
        </w:rPr>
        <w:t>Id</w:t>
      </w:r>
      <w:r w:rsidR="003B2641" w:rsidRPr="00321B5E">
        <w:rPr>
          <w:rFonts w:cs="Arial"/>
          <w:szCs w:val="24"/>
        </w:rPr>
        <w:t xml:space="preserve">. at p. 5.  </w:t>
      </w:r>
      <w:r w:rsidRPr="00321B5E">
        <w:rPr>
          <w:rFonts w:cs="Arial"/>
          <w:szCs w:val="24"/>
        </w:rPr>
        <w:t>To that end, Direct recommend</w:t>
      </w:r>
      <w:r w:rsidR="00D206C5" w:rsidRPr="00321B5E">
        <w:rPr>
          <w:rFonts w:cs="Arial"/>
          <w:szCs w:val="24"/>
        </w:rPr>
        <w:t>s</w:t>
      </w:r>
      <w:r w:rsidRPr="00321B5E">
        <w:rPr>
          <w:rFonts w:cs="Arial"/>
          <w:szCs w:val="24"/>
        </w:rPr>
        <w:t xml:space="preserve"> that </w:t>
      </w:r>
      <w:r w:rsidR="004E2334" w:rsidRPr="00321B5E">
        <w:rPr>
          <w:rFonts w:cs="Arial"/>
          <w:szCs w:val="24"/>
        </w:rPr>
        <w:t xml:space="preserve">there are other more targeted or balanced regulatory approaches that could be undertaken such as consolidated supplier billing, enhanced customer education, aggregation programs, or hardship customer referral programs.  </w:t>
      </w:r>
      <w:r w:rsidR="003B2641" w:rsidRPr="00321B5E">
        <w:rPr>
          <w:rFonts w:cs="Arial"/>
          <w:i/>
          <w:szCs w:val="24"/>
        </w:rPr>
        <w:t>Id</w:t>
      </w:r>
      <w:r w:rsidR="003B2641" w:rsidRPr="00321B5E">
        <w:rPr>
          <w:rFonts w:cs="Arial"/>
          <w:szCs w:val="24"/>
        </w:rPr>
        <w:t xml:space="preserve">.  </w:t>
      </w:r>
      <w:r w:rsidR="004E2334" w:rsidRPr="00321B5E">
        <w:rPr>
          <w:rFonts w:cs="Arial"/>
          <w:szCs w:val="24"/>
        </w:rPr>
        <w:t xml:space="preserve">Direct believes that these approaches, unlike OCC’s proposal to exclude an entire segment of customers </w:t>
      </w:r>
      <w:r w:rsidR="004035F2" w:rsidRPr="00321B5E">
        <w:rPr>
          <w:rFonts w:cs="Arial"/>
          <w:szCs w:val="24"/>
        </w:rPr>
        <w:t>from</w:t>
      </w:r>
      <w:r w:rsidR="004E2334" w:rsidRPr="00321B5E">
        <w:rPr>
          <w:rFonts w:cs="Arial"/>
          <w:szCs w:val="24"/>
        </w:rPr>
        <w:t xml:space="preserve"> the competitive marketplace, would be more appropriate for further exploration.  </w:t>
      </w:r>
      <w:r w:rsidR="004E2334" w:rsidRPr="00321B5E">
        <w:rPr>
          <w:rFonts w:cs="Arial"/>
          <w:i/>
          <w:iCs/>
          <w:szCs w:val="24"/>
        </w:rPr>
        <w:t>Id</w:t>
      </w:r>
      <w:r w:rsidR="004E2334" w:rsidRPr="00321B5E">
        <w:rPr>
          <w:rFonts w:cs="Arial"/>
          <w:szCs w:val="24"/>
        </w:rPr>
        <w:t>.</w:t>
      </w:r>
    </w:p>
    <w:p w:rsidR="000428D1" w:rsidRPr="00321B5E" w:rsidRDefault="000428D1" w:rsidP="001A4E0D">
      <w:pPr>
        <w:rPr>
          <w:rFonts w:cs="Arial"/>
          <w:szCs w:val="24"/>
        </w:rPr>
      </w:pPr>
    </w:p>
    <w:p w:rsidR="000428D1" w:rsidRPr="00321B5E" w:rsidRDefault="00A83CD9" w:rsidP="00B110AD">
      <w:pPr>
        <w:pStyle w:val="Heading2"/>
        <w:rPr>
          <w:rFonts w:cs="Arial"/>
          <w:szCs w:val="24"/>
        </w:rPr>
      </w:pPr>
      <w:bookmarkStart w:id="26" w:name="_Toc26174994"/>
      <w:r w:rsidRPr="00321B5E">
        <w:rPr>
          <w:rFonts w:cs="Arial"/>
          <w:szCs w:val="24"/>
        </w:rPr>
        <w:t>Electric Distribution Companies</w:t>
      </w:r>
      <w:bookmarkEnd w:id="26"/>
    </w:p>
    <w:p w:rsidR="000428D1" w:rsidRPr="00321B5E" w:rsidRDefault="000428D1" w:rsidP="001A4E0D">
      <w:pPr>
        <w:rPr>
          <w:rFonts w:cs="Arial"/>
          <w:szCs w:val="24"/>
        </w:rPr>
      </w:pPr>
    </w:p>
    <w:p w:rsidR="00B110AD" w:rsidRPr="00321B5E" w:rsidRDefault="00B110AD" w:rsidP="001A4E0D">
      <w:pPr>
        <w:rPr>
          <w:rFonts w:cs="Arial"/>
          <w:szCs w:val="24"/>
        </w:rPr>
      </w:pPr>
      <w:r w:rsidRPr="00321B5E">
        <w:rPr>
          <w:rFonts w:cs="Arial"/>
          <w:szCs w:val="24"/>
        </w:rPr>
        <w:tab/>
        <w:t>The Authority notes the exhaustive and substantial amounts of data that w</w:t>
      </w:r>
      <w:r w:rsidR="00C45E40" w:rsidRPr="00321B5E">
        <w:rPr>
          <w:rFonts w:cs="Arial"/>
          <w:szCs w:val="24"/>
        </w:rPr>
        <w:t>ere</w:t>
      </w:r>
      <w:r w:rsidRPr="00321B5E">
        <w:rPr>
          <w:rFonts w:cs="Arial"/>
          <w:szCs w:val="24"/>
        </w:rPr>
        <w:t xml:space="preserve"> submitted by both </w:t>
      </w:r>
      <w:r w:rsidR="00A83CD9" w:rsidRPr="00321B5E">
        <w:rPr>
          <w:rFonts w:cs="Arial"/>
          <w:szCs w:val="24"/>
        </w:rPr>
        <w:t xml:space="preserve">The Connecticut Light &amp; Power Company d/b/a </w:t>
      </w:r>
      <w:r w:rsidRPr="00321B5E">
        <w:rPr>
          <w:rFonts w:cs="Arial"/>
          <w:szCs w:val="24"/>
        </w:rPr>
        <w:t xml:space="preserve">Eversource </w:t>
      </w:r>
      <w:r w:rsidR="00A83CD9" w:rsidRPr="00321B5E">
        <w:rPr>
          <w:rFonts w:cs="Arial"/>
          <w:szCs w:val="24"/>
        </w:rPr>
        <w:t xml:space="preserve">(Eversource) </w:t>
      </w:r>
      <w:r w:rsidRPr="00321B5E">
        <w:rPr>
          <w:rFonts w:cs="Arial"/>
          <w:szCs w:val="24"/>
        </w:rPr>
        <w:t xml:space="preserve">and </w:t>
      </w:r>
      <w:r w:rsidR="00A83CD9" w:rsidRPr="00321B5E">
        <w:rPr>
          <w:rFonts w:cs="Arial"/>
          <w:szCs w:val="24"/>
        </w:rPr>
        <w:t>The United Illuminating Company (UI) (collectively, EDCs)</w:t>
      </w:r>
      <w:r w:rsidRPr="00321B5E">
        <w:rPr>
          <w:rFonts w:cs="Arial"/>
          <w:szCs w:val="24"/>
        </w:rPr>
        <w:t xml:space="preserve"> during the course of this proceeding.  This </w:t>
      </w:r>
      <w:r w:rsidR="00707F3B" w:rsidRPr="00321B5E">
        <w:rPr>
          <w:rFonts w:cs="Arial"/>
          <w:szCs w:val="24"/>
        </w:rPr>
        <w:t>information</w:t>
      </w:r>
      <w:r w:rsidRPr="00321B5E">
        <w:rPr>
          <w:rFonts w:cs="Arial"/>
          <w:szCs w:val="24"/>
        </w:rPr>
        <w:t xml:space="preserve">, in response to numerous interrogatories and data requests, was an </w:t>
      </w:r>
      <w:r w:rsidR="00811F6B" w:rsidRPr="00321B5E">
        <w:rPr>
          <w:rFonts w:cs="Arial"/>
          <w:szCs w:val="24"/>
        </w:rPr>
        <w:t>essential component of this proceeding.</w:t>
      </w:r>
    </w:p>
    <w:p w:rsidR="00811F6B" w:rsidRPr="00321B5E" w:rsidRDefault="00811F6B" w:rsidP="001A4E0D">
      <w:pPr>
        <w:rPr>
          <w:rFonts w:cs="Arial"/>
          <w:szCs w:val="24"/>
        </w:rPr>
      </w:pPr>
    </w:p>
    <w:p w:rsidR="00811F6B" w:rsidRPr="00321B5E" w:rsidRDefault="00811F6B" w:rsidP="001A4E0D">
      <w:pPr>
        <w:rPr>
          <w:rFonts w:cs="Arial"/>
          <w:szCs w:val="24"/>
        </w:rPr>
      </w:pPr>
      <w:r w:rsidRPr="00321B5E">
        <w:rPr>
          <w:rFonts w:cs="Arial"/>
          <w:szCs w:val="24"/>
        </w:rPr>
        <w:tab/>
        <w:t>Eversource, in its Brief</w:t>
      </w:r>
      <w:r w:rsidR="000C706D" w:rsidRPr="00321B5E">
        <w:rPr>
          <w:rFonts w:cs="Arial"/>
          <w:szCs w:val="24"/>
        </w:rPr>
        <w:t xml:space="preserve">, </w:t>
      </w:r>
      <w:r w:rsidRPr="00321B5E">
        <w:rPr>
          <w:rFonts w:cs="Arial"/>
          <w:szCs w:val="24"/>
        </w:rPr>
        <w:t>expressed its position that the Authority conservatively consider any changes to the systems that administer customer enrollments, switching and account blocks to ensure that the EDCs are able to timely implement any directives, should they be implemented.  Eversource Brief</w:t>
      </w:r>
      <w:r w:rsidR="000C706D" w:rsidRPr="00321B5E">
        <w:rPr>
          <w:rFonts w:cs="Arial"/>
          <w:szCs w:val="24"/>
        </w:rPr>
        <w:t xml:space="preserve"> p. 1</w:t>
      </w:r>
      <w:proofErr w:type="gramStart"/>
      <w:r w:rsidR="000C706D" w:rsidRPr="00321B5E">
        <w:rPr>
          <w:rFonts w:cs="Arial"/>
          <w:szCs w:val="24"/>
        </w:rPr>
        <w:t>.</w:t>
      </w:r>
      <w:r w:rsidRPr="00321B5E">
        <w:rPr>
          <w:rFonts w:cs="Arial"/>
          <w:szCs w:val="24"/>
        </w:rPr>
        <w:t>.</w:t>
      </w:r>
      <w:proofErr w:type="gramEnd"/>
      <w:r w:rsidRPr="00321B5E">
        <w:rPr>
          <w:rFonts w:cs="Arial"/>
          <w:szCs w:val="24"/>
        </w:rPr>
        <w:t xml:space="preserve">  Eversource also </w:t>
      </w:r>
      <w:r w:rsidR="00D206C5" w:rsidRPr="00321B5E">
        <w:rPr>
          <w:rFonts w:cs="Arial"/>
          <w:szCs w:val="24"/>
        </w:rPr>
        <w:t>contends</w:t>
      </w:r>
      <w:r w:rsidRPr="00321B5E">
        <w:rPr>
          <w:rFonts w:cs="Arial"/>
          <w:szCs w:val="24"/>
        </w:rPr>
        <w:t xml:space="preserve"> that any regulatory directives implemented should ensure that EDC</w:t>
      </w:r>
      <w:r w:rsidR="00D206C5" w:rsidRPr="00321B5E">
        <w:rPr>
          <w:rFonts w:cs="Arial"/>
          <w:szCs w:val="24"/>
        </w:rPr>
        <w:t>s</w:t>
      </w:r>
      <w:r w:rsidRPr="00321B5E">
        <w:rPr>
          <w:rFonts w:cs="Arial"/>
          <w:szCs w:val="24"/>
        </w:rPr>
        <w:t xml:space="preserve"> are authorized to recover all prudently incurred costs</w:t>
      </w:r>
      <w:r w:rsidR="0018178E" w:rsidRPr="00321B5E">
        <w:rPr>
          <w:rFonts w:cs="Arial"/>
          <w:szCs w:val="24"/>
        </w:rPr>
        <w:t>, including technological costs</w:t>
      </w:r>
      <w:r w:rsidRPr="00321B5E">
        <w:rPr>
          <w:rFonts w:cs="Arial"/>
          <w:szCs w:val="24"/>
        </w:rPr>
        <w:t xml:space="preserve">.  </w:t>
      </w:r>
      <w:r w:rsidR="000C706D" w:rsidRPr="00321B5E">
        <w:rPr>
          <w:rFonts w:cs="Arial"/>
          <w:i/>
          <w:szCs w:val="24"/>
        </w:rPr>
        <w:t>Id</w:t>
      </w:r>
      <w:r w:rsidR="000C706D" w:rsidRPr="00321B5E">
        <w:rPr>
          <w:rFonts w:cs="Arial"/>
          <w:szCs w:val="24"/>
        </w:rPr>
        <w:t xml:space="preserve">.  </w:t>
      </w:r>
      <w:r w:rsidRPr="00321B5E">
        <w:rPr>
          <w:rFonts w:cs="Arial"/>
          <w:szCs w:val="24"/>
        </w:rPr>
        <w:t>Further, Eversource support</w:t>
      </w:r>
      <w:r w:rsidR="00D206C5" w:rsidRPr="00321B5E">
        <w:rPr>
          <w:rFonts w:cs="Arial"/>
          <w:szCs w:val="24"/>
        </w:rPr>
        <w:t>s</w:t>
      </w:r>
      <w:r w:rsidRPr="00321B5E">
        <w:rPr>
          <w:rFonts w:cs="Arial"/>
          <w:szCs w:val="24"/>
        </w:rPr>
        <w:t xml:space="preserve"> the OCC’s position that third-party suppliers bear some of the implementation costs necessary to effectuate any changes put forth by the Authority.  </w:t>
      </w:r>
      <w:r w:rsidR="005F126C" w:rsidRPr="00321B5E">
        <w:rPr>
          <w:rFonts w:cs="Arial"/>
          <w:iCs/>
          <w:szCs w:val="24"/>
        </w:rPr>
        <w:t>Eversource Reply Brief, p. 1</w:t>
      </w:r>
      <w:r w:rsidRPr="00321B5E">
        <w:rPr>
          <w:rFonts w:cs="Arial"/>
          <w:szCs w:val="24"/>
        </w:rPr>
        <w:t>.</w:t>
      </w:r>
    </w:p>
    <w:p w:rsidR="00811F6B" w:rsidRPr="00321B5E" w:rsidRDefault="00811F6B" w:rsidP="001A4E0D">
      <w:pPr>
        <w:rPr>
          <w:rFonts w:cs="Arial"/>
          <w:szCs w:val="24"/>
        </w:rPr>
      </w:pPr>
    </w:p>
    <w:p w:rsidR="00811F6B" w:rsidRPr="00321B5E" w:rsidRDefault="00811F6B" w:rsidP="001A4E0D">
      <w:pPr>
        <w:rPr>
          <w:rFonts w:cs="Arial"/>
          <w:szCs w:val="24"/>
        </w:rPr>
      </w:pPr>
      <w:r w:rsidRPr="00321B5E">
        <w:rPr>
          <w:rFonts w:cs="Arial"/>
          <w:szCs w:val="24"/>
        </w:rPr>
        <w:lastRenderedPageBreak/>
        <w:tab/>
        <w:t xml:space="preserve">UI </w:t>
      </w:r>
      <w:r w:rsidR="00D206C5" w:rsidRPr="00321B5E">
        <w:rPr>
          <w:rFonts w:cs="Arial"/>
          <w:szCs w:val="24"/>
        </w:rPr>
        <w:t>states</w:t>
      </w:r>
      <w:r w:rsidRPr="00321B5E">
        <w:rPr>
          <w:rFonts w:cs="Arial"/>
          <w:szCs w:val="24"/>
        </w:rPr>
        <w:t xml:space="preserve"> that it does not take a position on this docket as to whether third-party suppliers should be allowed to continue to serve hardship customers.  </w:t>
      </w:r>
      <w:r w:rsidR="00804734" w:rsidRPr="00321B5E">
        <w:rPr>
          <w:rFonts w:cs="Arial"/>
          <w:szCs w:val="24"/>
        </w:rPr>
        <w:t xml:space="preserve">UI Brief p. 1.  </w:t>
      </w:r>
      <w:r w:rsidRPr="00321B5E">
        <w:rPr>
          <w:rFonts w:cs="Arial"/>
          <w:szCs w:val="24"/>
        </w:rPr>
        <w:t xml:space="preserve">However, UI echoed </w:t>
      </w:r>
      <w:proofErr w:type="spellStart"/>
      <w:r w:rsidRPr="00321B5E">
        <w:rPr>
          <w:rFonts w:cs="Arial"/>
          <w:szCs w:val="24"/>
        </w:rPr>
        <w:t>Eversource’s</w:t>
      </w:r>
      <w:proofErr w:type="spellEnd"/>
      <w:r w:rsidRPr="00321B5E">
        <w:rPr>
          <w:rFonts w:cs="Arial"/>
          <w:szCs w:val="24"/>
        </w:rPr>
        <w:t xml:space="preserve"> concerns that the Authority conservatively consider any changes to customer enrollments, switching and account blocks so that the EDCs are able to timely implement any directives, should they be implemented.  </w:t>
      </w:r>
      <w:r w:rsidR="00804734" w:rsidRPr="00321B5E">
        <w:rPr>
          <w:rFonts w:cs="Arial"/>
          <w:szCs w:val="24"/>
        </w:rPr>
        <w:t xml:space="preserve">UI Reply Brief, p. 1.  </w:t>
      </w:r>
      <w:r w:rsidRPr="00321B5E">
        <w:rPr>
          <w:rFonts w:cs="Arial"/>
          <w:szCs w:val="24"/>
        </w:rPr>
        <w:t>Similarly, UI also state</w:t>
      </w:r>
      <w:r w:rsidR="00D206C5" w:rsidRPr="00321B5E">
        <w:rPr>
          <w:rFonts w:cs="Arial"/>
          <w:szCs w:val="24"/>
        </w:rPr>
        <w:t>s</w:t>
      </w:r>
      <w:r w:rsidRPr="00321B5E">
        <w:rPr>
          <w:rFonts w:cs="Arial"/>
          <w:szCs w:val="24"/>
        </w:rPr>
        <w:t xml:space="preserve"> the Authority should ensure that </w:t>
      </w:r>
      <w:r w:rsidR="0018178E" w:rsidRPr="00321B5E">
        <w:rPr>
          <w:rFonts w:cs="Arial"/>
          <w:szCs w:val="24"/>
        </w:rPr>
        <w:t>if any changes are made, the EDCs are authorized to recover all prudently incurred costs associated with such changes, including technological costs.</w:t>
      </w:r>
      <w:r w:rsidR="00474ED6" w:rsidRPr="00321B5E">
        <w:rPr>
          <w:rFonts w:cs="Arial"/>
          <w:szCs w:val="24"/>
        </w:rPr>
        <w:t xml:space="preserve"> </w:t>
      </w:r>
      <w:r w:rsidR="00804734" w:rsidRPr="00321B5E">
        <w:rPr>
          <w:rFonts w:cs="Arial"/>
          <w:i/>
          <w:szCs w:val="24"/>
        </w:rPr>
        <w:t>Id</w:t>
      </w:r>
      <w:r w:rsidR="00804734" w:rsidRPr="00321B5E">
        <w:rPr>
          <w:rFonts w:cs="Arial"/>
          <w:szCs w:val="24"/>
        </w:rPr>
        <w:t xml:space="preserve">. </w:t>
      </w:r>
    </w:p>
    <w:p w:rsidR="001A4E0D" w:rsidRPr="00321B5E" w:rsidRDefault="001A4E0D" w:rsidP="005F7F8A">
      <w:pPr>
        <w:tabs>
          <w:tab w:val="left" w:pos="720"/>
        </w:tabs>
        <w:rPr>
          <w:rFonts w:cs="Arial"/>
          <w:szCs w:val="24"/>
        </w:rPr>
      </w:pPr>
    </w:p>
    <w:p w:rsidR="001A4E0D" w:rsidRPr="00321B5E" w:rsidRDefault="001A4E0D" w:rsidP="001A4E0D">
      <w:pPr>
        <w:rPr>
          <w:rFonts w:cs="Arial"/>
          <w:szCs w:val="24"/>
        </w:rPr>
      </w:pPr>
    </w:p>
    <w:p w:rsidR="001A4E0D" w:rsidRPr="00321B5E" w:rsidRDefault="001A4E0D" w:rsidP="001A4E0D">
      <w:pPr>
        <w:pStyle w:val="Heading1"/>
        <w:numPr>
          <w:ilvl w:val="0"/>
          <w:numId w:val="29"/>
        </w:numPr>
        <w:tabs>
          <w:tab w:val="clear" w:pos="360"/>
        </w:tabs>
        <w:rPr>
          <w:rFonts w:cs="Arial"/>
          <w:szCs w:val="24"/>
        </w:rPr>
      </w:pPr>
      <w:bookmarkStart w:id="27" w:name="_Toc26174995"/>
      <w:r w:rsidRPr="00321B5E">
        <w:rPr>
          <w:rFonts w:cs="Arial"/>
          <w:szCs w:val="24"/>
        </w:rPr>
        <w:t>AUTHORITY ANALYSIS</w:t>
      </w:r>
      <w:bookmarkEnd w:id="27"/>
    </w:p>
    <w:p w:rsidR="001A4E0D" w:rsidRPr="00321B5E" w:rsidRDefault="001A4E0D" w:rsidP="001A4E0D">
      <w:pPr>
        <w:rPr>
          <w:rFonts w:cs="Arial"/>
          <w:szCs w:val="24"/>
        </w:rPr>
      </w:pPr>
    </w:p>
    <w:p w:rsidR="0067159D" w:rsidRPr="00321B5E" w:rsidRDefault="0067159D" w:rsidP="0067159D">
      <w:pPr>
        <w:pStyle w:val="Default"/>
        <w:ind w:firstLine="720"/>
        <w:jc w:val="both"/>
        <w:rPr>
          <w:rFonts w:ascii="Arial" w:hAnsi="Arial" w:cs="Arial"/>
        </w:rPr>
      </w:pPr>
      <w:r w:rsidRPr="00321B5E">
        <w:rPr>
          <w:rFonts w:ascii="Arial" w:hAnsi="Arial" w:cs="Arial"/>
        </w:rPr>
        <w:t>The Authority initiated this docket pursuant to Conn. Gen. Stat. § 16-245o(m), “to review the feasibility, costs and benefits of placing on standard service all customer of electric suppliers (1) who are hardship cases for purpose of subdivision (3) of subsection (b) of section 16-262c, (2) having moneys due and owing deducted from such customers’ bills by the electric distribution company pursuant to subdivision (4) of subsection (b) of section 16-262c, (3) receiving other financial assistance from an electric distribution company, or (4) who are otherwise protected by law from shutoff of electricity services.”  The statute further states, “[T]he Authority may, in a final decision issued pursuant to this subsection, order all such customers to be placed on standard service.</w:t>
      </w:r>
      <w:r w:rsidR="00C45E40" w:rsidRPr="00321B5E">
        <w:rPr>
          <w:rFonts w:ascii="Arial" w:hAnsi="Arial" w:cs="Arial"/>
        </w:rPr>
        <w:t>”</w:t>
      </w:r>
      <w:r w:rsidRPr="00321B5E">
        <w:rPr>
          <w:rStyle w:val="FootnoteReference"/>
          <w:rFonts w:cs="Arial"/>
          <w:sz w:val="24"/>
        </w:rPr>
        <w:footnoteReference w:id="3"/>
      </w:r>
    </w:p>
    <w:p w:rsidR="0067159D" w:rsidRPr="00321B5E" w:rsidRDefault="0067159D" w:rsidP="0067159D">
      <w:pPr>
        <w:pStyle w:val="Default"/>
        <w:jc w:val="both"/>
        <w:rPr>
          <w:rFonts w:ascii="Arial" w:hAnsi="Arial" w:cs="Arial"/>
        </w:rPr>
      </w:pPr>
    </w:p>
    <w:p w:rsidR="0067159D" w:rsidRPr="00321B5E" w:rsidRDefault="0067159D" w:rsidP="0067159D">
      <w:pPr>
        <w:pStyle w:val="Default"/>
        <w:ind w:firstLine="720"/>
        <w:jc w:val="both"/>
        <w:rPr>
          <w:rFonts w:ascii="Arial" w:hAnsi="Arial" w:cs="Arial"/>
        </w:rPr>
      </w:pPr>
      <w:r w:rsidRPr="00321B5E">
        <w:rPr>
          <w:rFonts w:ascii="Arial" w:hAnsi="Arial" w:cs="Arial"/>
        </w:rPr>
        <w:t xml:space="preserve">Subsection(b) of Conn. Gen. Stat. § 16-262c defines a hardship customer as:  (i) A customer receiving local, state or federal public assistance; (ii) a customer whose sole source of financial support is Social Security, Veterans’ Administration or unemployment compensation benefits; (iii) a customer who is head of the household and is unemployed, and the household income is less than three hundred per cent of the poverty level determined by the federal government; (iv) a customer who is seriously ill or who has a household member who is seriously ill; (v) a customer whose income falls below one hundred twenty-five per cent of the poverty level determined by the federal government; and (vi) a customer whose circumstances threaten a deprivation of food and the necessities of life for himself or dependent children if payment of a delinquent bill is required. </w:t>
      </w:r>
    </w:p>
    <w:p w:rsidR="0067159D" w:rsidRPr="00321B5E" w:rsidRDefault="0067159D" w:rsidP="0067159D">
      <w:pPr>
        <w:pStyle w:val="Default"/>
        <w:jc w:val="both"/>
        <w:rPr>
          <w:rFonts w:ascii="Arial" w:hAnsi="Arial" w:cs="Arial"/>
        </w:rPr>
      </w:pPr>
      <w:r w:rsidRPr="00321B5E">
        <w:rPr>
          <w:rFonts w:ascii="Arial" w:hAnsi="Arial" w:cs="Arial"/>
        </w:rPr>
        <w:t xml:space="preserve"> </w:t>
      </w:r>
    </w:p>
    <w:p w:rsidR="0067159D" w:rsidRPr="00321B5E" w:rsidRDefault="0067159D" w:rsidP="0067159D">
      <w:pPr>
        <w:pStyle w:val="Default"/>
        <w:ind w:firstLine="720"/>
        <w:jc w:val="both"/>
        <w:rPr>
          <w:rFonts w:ascii="Arial" w:hAnsi="Arial" w:cs="Arial"/>
        </w:rPr>
      </w:pPr>
      <w:r w:rsidRPr="00321B5E">
        <w:rPr>
          <w:rFonts w:ascii="Arial" w:hAnsi="Arial" w:cs="Arial"/>
        </w:rPr>
        <w:t xml:space="preserve">Throughout this proceeding, the Authority has collected evidence regarding the benefits, feasibility, and costs of returning hardship customers to standard service.  Both OCC and RESA retained consultants that provided in-depth pre-filed testimony and were subject to cross-examination.  </w:t>
      </w:r>
    </w:p>
    <w:p w:rsidR="0067159D" w:rsidRPr="00321B5E" w:rsidRDefault="0067159D" w:rsidP="0067159D">
      <w:pPr>
        <w:pStyle w:val="Default"/>
        <w:jc w:val="both"/>
        <w:rPr>
          <w:rFonts w:ascii="Arial" w:hAnsi="Arial" w:cs="Arial"/>
        </w:rPr>
      </w:pPr>
    </w:p>
    <w:p w:rsidR="0067159D" w:rsidRPr="00321B5E" w:rsidRDefault="0067159D" w:rsidP="00A45F17">
      <w:pPr>
        <w:pStyle w:val="Heading2"/>
        <w:numPr>
          <w:ilvl w:val="1"/>
          <w:numId w:val="29"/>
        </w:numPr>
        <w:rPr>
          <w:rFonts w:cs="Arial"/>
          <w:szCs w:val="24"/>
          <w:u w:val="single"/>
        </w:rPr>
      </w:pPr>
      <w:bookmarkStart w:id="28" w:name="_Toc26174996"/>
      <w:r w:rsidRPr="00321B5E">
        <w:rPr>
          <w:rFonts w:cs="Arial"/>
          <w:szCs w:val="24"/>
          <w:u w:val="single"/>
        </w:rPr>
        <w:t>Benefits</w:t>
      </w:r>
      <w:bookmarkEnd w:id="28"/>
    </w:p>
    <w:p w:rsidR="0067159D" w:rsidRPr="00321B5E" w:rsidRDefault="0067159D" w:rsidP="0067159D">
      <w:pPr>
        <w:pStyle w:val="Default"/>
        <w:jc w:val="both"/>
        <w:rPr>
          <w:rFonts w:ascii="Arial" w:hAnsi="Arial" w:cs="Arial"/>
        </w:rPr>
      </w:pPr>
    </w:p>
    <w:p w:rsidR="0067159D" w:rsidRPr="00321B5E" w:rsidRDefault="0067159D" w:rsidP="0067159D">
      <w:pPr>
        <w:pStyle w:val="Default"/>
        <w:ind w:firstLine="720"/>
        <w:jc w:val="both"/>
        <w:rPr>
          <w:rFonts w:ascii="Arial" w:hAnsi="Arial" w:cs="Arial"/>
        </w:rPr>
      </w:pPr>
      <w:r w:rsidRPr="00321B5E">
        <w:rPr>
          <w:rFonts w:ascii="Arial" w:hAnsi="Arial" w:cs="Arial"/>
        </w:rPr>
        <w:t xml:space="preserve">OCC presented compelling evidence based on analysis of two years’ of billing data that hardship customers purchasing electricity from third-party suppliers from October 2016 through September 2018 paid $7.2 million more during that time period than they would have if they had purchased electricity through standard service.  </w:t>
      </w:r>
      <w:r w:rsidR="00176C1B" w:rsidRPr="00321B5E">
        <w:rPr>
          <w:rFonts w:ascii="Arial" w:hAnsi="Arial" w:cs="Arial"/>
        </w:rPr>
        <w:lastRenderedPageBreak/>
        <w:t xml:space="preserve">Baldwin PFT, p.4.  </w:t>
      </w:r>
      <w:r w:rsidRPr="00321B5E">
        <w:rPr>
          <w:rFonts w:ascii="Arial" w:hAnsi="Arial" w:cs="Arial"/>
        </w:rPr>
        <w:t xml:space="preserve">Furthermore, OCC presented evidence that seventy-eight percent (78%) of hardship customers receiving service from an electric supplier paid more than they would have on standard service.  </w:t>
      </w:r>
      <w:r w:rsidR="00176C1B" w:rsidRPr="00321B5E">
        <w:rPr>
          <w:rFonts w:ascii="Arial" w:hAnsi="Arial" w:cs="Arial"/>
          <w:i/>
          <w:iCs/>
        </w:rPr>
        <w:t>Id</w:t>
      </w:r>
      <w:r w:rsidR="00176C1B" w:rsidRPr="00321B5E">
        <w:rPr>
          <w:rFonts w:ascii="Arial" w:hAnsi="Arial" w:cs="Arial"/>
        </w:rPr>
        <w:t xml:space="preserve">. at p. 26. </w:t>
      </w:r>
      <w:r w:rsidRPr="00321B5E">
        <w:rPr>
          <w:rFonts w:ascii="Arial" w:hAnsi="Arial" w:cs="Arial"/>
        </w:rPr>
        <w:t xml:space="preserve">RESA did not contest the accuracy of this evidence.  </w:t>
      </w:r>
      <w:r w:rsidRPr="00321B5E">
        <w:rPr>
          <w:rFonts w:ascii="Arial" w:hAnsi="Arial" w:cs="Arial"/>
          <w:i/>
        </w:rPr>
        <w:t>See</w:t>
      </w:r>
      <w:r w:rsidRPr="00321B5E">
        <w:rPr>
          <w:rFonts w:ascii="Arial" w:hAnsi="Arial" w:cs="Arial"/>
        </w:rPr>
        <w:t xml:space="preserve"> RESA Pre-filed Testimony, p. 10 (“I do not dispute that for this time period it appears that most hardship customers pay more with their competitive suppliers than they would have paid if they remained with standard service.”).     </w:t>
      </w:r>
    </w:p>
    <w:p w:rsidR="0067159D" w:rsidRPr="00321B5E" w:rsidRDefault="0067159D" w:rsidP="0067159D">
      <w:pPr>
        <w:pStyle w:val="Default"/>
        <w:jc w:val="both"/>
        <w:rPr>
          <w:rFonts w:ascii="Arial" w:hAnsi="Arial" w:cs="Arial"/>
        </w:rPr>
      </w:pPr>
    </w:p>
    <w:p w:rsidR="0067159D" w:rsidRPr="00321B5E" w:rsidRDefault="0067159D" w:rsidP="0067159D">
      <w:pPr>
        <w:pStyle w:val="Default"/>
        <w:ind w:firstLine="720"/>
        <w:jc w:val="both"/>
        <w:rPr>
          <w:rFonts w:ascii="Arial" w:hAnsi="Arial" w:cs="Arial"/>
        </w:rPr>
      </w:pPr>
      <w:r w:rsidRPr="00321B5E">
        <w:rPr>
          <w:rFonts w:ascii="Arial" w:hAnsi="Arial" w:cs="Arial"/>
        </w:rPr>
        <w:t xml:space="preserve">The Authority finds reducing the rate for 78% of hardship customers and saving $7.2 million to be a substantial benefit.  While this savings reflects a point in time from 2016 through 2018, the Authority has reason to believe it is indicative of the amount of continued savings that could be recognized in the future if hardship customers were returned to standard service.  </w:t>
      </w:r>
      <w:r w:rsidR="002B5A51" w:rsidRPr="00321B5E">
        <w:rPr>
          <w:rFonts w:ascii="Arial" w:hAnsi="Arial" w:cs="Arial"/>
        </w:rPr>
        <w:t xml:space="preserve">The two years examined by OCC do not appear to be anomalies in circumstances or prices offered.  </w:t>
      </w:r>
      <w:r w:rsidRPr="00321B5E">
        <w:rPr>
          <w:rFonts w:ascii="Arial" w:hAnsi="Arial" w:cs="Arial"/>
        </w:rPr>
        <w:t xml:space="preserve">The Authority rejects RESA’s arguments regarding differing results </w:t>
      </w:r>
      <w:r w:rsidR="00176C1B" w:rsidRPr="00321B5E">
        <w:rPr>
          <w:rFonts w:ascii="Arial" w:hAnsi="Arial" w:cs="Arial"/>
        </w:rPr>
        <w:t xml:space="preserve">of OCC’s study </w:t>
      </w:r>
      <w:r w:rsidRPr="00321B5E">
        <w:rPr>
          <w:rFonts w:ascii="Arial" w:hAnsi="Arial" w:cs="Arial"/>
        </w:rPr>
        <w:t xml:space="preserve">had the timeframe been prior to 2015.  Prior to </w:t>
      </w:r>
      <w:r w:rsidR="00804734" w:rsidRPr="00321B5E">
        <w:rPr>
          <w:rFonts w:ascii="Arial" w:hAnsi="Arial" w:cs="Arial"/>
        </w:rPr>
        <w:t xml:space="preserve">October </w:t>
      </w:r>
      <w:r w:rsidRPr="00321B5E">
        <w:rPr>
          <w:rFonts w:ascii="Arial" w:hAnsi="Arial" w:cs="Arial"/>
        </w:rPr>
        <w:t xml:space="preserve">2015 variable rates existed for residential customers.  As a result, comparison to years prior to 2016 is not useful.   </w:t>
      </w:r>
    </w:p>
    <w:p w:rsidR="0067159D" w:rsidRPr="00321B5E" w:rsidRDefault="0067159D" w:rsidP="0067159D">
      <w:pPr>
        <w:rPr>
          <w:rFonts w:cs="Arial"/>
          <w:szCs w:val="24"/>
        </w:rPr>
      </w:pPr>
    </w:p>
    <w:p w:rsidR="002B5A51" w:rsidRPr="00321B5E" w:rsidRDefault="0067159D" w:rsidP="0067159D">
      <w:pPr>
        <w:ind w:firstLine="720"/>
        <w:rPr>
          <w:rFonts w:cs="Arial"/>
          <w:szCs w:val="24"/>
        </w:rPr>
      </w:pPr>
      <w:r w:rsidRPr="00321B5E">
        <w:rPr>
          <w:rFonts w:cs="Arial"/>
          <w:szCs w:val="24"/>
        </w:rPr>
        <w:t>The Authority finds that whether or not suppliers offered rates that were lower than standard service during the time period in question, hardship customers contracting with suppliers paid more during the examined time period than they would have paid on standard service.</w:t>
      </w:r>
      <w:r w:rsidRPr="00321B5E">
        <w:rPr>
          <w:rStyle w:val="FootnoteReference"/>
          <w:rFonts w:cs="Arial"/>
          <w:sz w:val="24"/>
          <w:szCs w:val="24"/>
        </w:rPr>
        <w:footnoteReference w:id="4"/>
      </w:r>
      <w:r w:rsidRPr="00321B5E">
        <w:rPr>
          <w:rFonts w:cs="Arial"/>
          <w:szCs w:val="24"/>
        </w:rPr>
        <w:t xml:space="preserve">  </w:t>
      </w:r>
      <w:r w:rsidR="002B5A51" w:rsidRPr="00321B5E">
        <w:rPr>
          <w:rFonts w:cs="Arial"/>
          <w:szCs w:val="24"/>
        </w:rPr>
        <w:t xml:space="preserve">This indicates to the Authority that OCC’s data is accurate regarding hardship customers faring worse with third-party suppliers; better offers might have been available, but hardship customers did not receive them.  </w:t>
      </w:r>
    </w:p>
    <w:p w:rsidR="002B5A51" w:rsidRPr="00321B5E" w:rsidRDefault="002B5A51" w:rsidP="0067159D">
      <w:pPr>
        <w:ind w:firstLine="720"/>
        <w:rPr>
          <w:rFonts w:cs="Arial"/>
          <w:szCs w:val="24"/>
        </w:rPr>
      </w:pPr>
    </w:p>
    <w:p w:rsidR="0067159D" w:rsidRPr="00321B5E" w:rsidRDefault="0067159D" w:rsidP="0067159D">
      <w:pPr>
        <w:ind w:firstLine="720"/>
        <w:rPr>
          <w:rFonts w:cs="Arial"/>
          <w:szCs w:val="24"/>
        </w:rPr>
      </w:pPr>
      <w:r w:rsidRPr="00321B5E">
        <w:rPr>
          <w:rFonts w:cs="Arial"/>
          <w:szCs w:val="24"/>
        </w:rPr>
        <w:t>Theoretical savings are unconvincing when compared with the reality of hardship customers paying more than $7 million too much.</w:t>
      </w:r>
      <w:r w:rsidRPr="00321B5E">
        <w:rPr>
          <w:rStyle w:val="FootnoteReference"/>
          <w:rFonts w:cs="Arial"/>
          <w:sz w:val="24"/>
          <w:szCs w:val="24"/>
        </w:rPr>
        <w:footnoteReference w:id="5"/>
      </w:r>
      <w:r w:rsidRPr="00321B5E">
        <w:rPr>
          <w:rFonts w:cs="Arial"/>
          <w:szCs w:val="24"/>
        </w:rPr>
        <w:t xml:space="preserve">  Even more so, theoretical savings in the future are unconvincing when compared to actual past costs.  As stated by DEEP, “[T]he Authority is performing this review pursuant to 16-</w:t>
      </w:r>
      <w:proofErr w:type="gramStart"/>
      <w:r w:rsidRPr="00321B5E">
        <w:rPr>
          <w:rFonts w:cs="Arial"/>
          <w:szCs w:val="24"/>
        </w:rPr>
        <w:t>245o(</w:t>
      </w:r>
      <w:proofErr w:type="gramEnd"/>
      <w:r w:rsidRPr="00321B5E">
        <w:rPr>
          <w:rFonts w:cs="Arial"/>
          <w:szCs w:val="24"/>
        </w:rPr>
        <w:t xml:space="preserve">m) after nearly </w:t>
      </w:r>
      <w:r w:rsidRPr="00321B5E">
        <w:rPr>
          <w:rFonts w:cs="Arial"/>
          <w:i/>
          <w:iCs/>
          <w:szCs w:val="24"/>
        </w:rPr>
        <w:t>two decades</w:t>
      </w:r>
      <w:r w:rsidRPr="00321B5E">
        <w:rPr>
          <w:rFonts w:cs="Arial"/>
          <w:szCs w:val="24"/>
        </w:rPr>
        <w:t xml:space="preserve"> of deregulation. At this point in time, the potential benefits that hardship customers could receive from purchasing electricity from third-party suppliers is significantly less informative than what hardship customers have actually experienced.”  DEEP Brief, p. 7</w:t>
      </w:r>
      <w:r w:rsidR="00176C1B" w:rsidRPr="00321B5E">
        <w:rPr>
          <w:rFonts w:cs="Arial"/>
          <w:szCs w:val="24"/>
        </w:rPr>
        <w:t xml:space="preserve"> (emphasis added)</w:t>
      </w:r>
      <w:r w:rsidRPr="00321B5E">
        <w:rPr>
          <w:rFonts w:cs="Arial"/>
          <w:szCs w:val="24"/>
        </w:rPr>
        <w:t>.</w:t>
      </w:r>
      <w:r w:rsidR="002B5A51" w:rsidRPr="00321B5E">
        <w:rPr>
          <w:rFonts w:cs="Arial"/>
          <w:szCs w:val="24"/>
        </w:rPr>
        <w:t xml:space="preserve">  The evidence indicates that what hardship customers have actually experienced is higher prices. </w:t>
      </w:r>
      <w:r w:rsidRPr="00321B5E">
        <w:rPr>
          <w:rFonts w:cs="Arial"/>
          <w:szCs w:val="24"/>
        </w:rPr>
        <w:t xml:space="preserve">          </w:t>
      </w:r>
    </w:p>
    <w:p w:rsidR="0067159D" w:rsidRPr="00321B5E" w:rsidRDefault="0067159D" w:rsidP="0067159D">
      <w:pPr>
        <w:rPr>
          <w:rFonts w:cs="Arial"/>
          <w:szCs w:val="24"/>
        </w:rPr>
      </w:pPr>
    </w:p>
    <w:p w:rsidR="0067159D" w:rsidRPr="00321B5E" w:rsidRDefault="0067159D" w:rsidP="0067159D">
      <w:pPr>
        <w:ind w:firstLine="720"/>
        <w:rPr>
          <w:rFonts w:cs="Arial"/>
          <w:szCs w:val="24"/>
        </w:rPr>
      </w:pPr>
      <w:r w:rsidRPr="00321B5E">
        <w:rPr>
          <w:rFonts w:cs="Arial"/>
          <w:szCs w:val="24"/>
        </w:rPr>
        <w:t xml:space="preserve">The Authority is concerned by the evidence that </w:t>
      </w:r>
      <w:r w:rsidR="00424B63" w:rsidRPr="00321B5E">
        <w:rPr>
          <w:rFonts w:cs="Arial"/>
          <w:szCs w:val="24"/>
        </w:rPr>
        <w:t xml:space="preserve">the supplier market harms </w:t>
      </w:r>
      <w:r w:rsidRPr="00321B5E">
        <w:rPr>
          <w:rFonts w:cs="Arial"/>
          <w:szCs w:val="24"/>
        </w:rPr>
        <w:t xml:space="preserve">hardship customers </w:t>
      </w:r>
      <w:r w:rsidR="00424B63" w:rsidRPr="00321B5E">
        <w:rPr>
          <w:rFonts w:cs="Arial"/>
          <w:szCs w:val="24"/>
        </w:rPr>
        <w:t xml:space="preserve">in </w:t>
      </w:r>
      <w:r w:rsidRPr="00321B5E">
        <w:rPr>
          <w:rFonts w:cs="Arial"/>
          <w:szCs w:val="24"/>
        </w:rPr>
        <w:t xml:space="preserve">particular.  OCC presented uncontroverted evidence that during the time period in question hardship customers contracting with a supplier paid </w:t>
      </w:r>
      <w:r w:rsidR="001D640C" w:rsidRPr="00321B5E">
        <w:rPr>
          <w:rFonts w:cs="Arial"/>
          <w:szCs w:val="24"/>
        </w:rPr>
        <w:t>sixty-</w:t>
      </w:r>
      <w:r w:rsidR="001D640C" w:rsidRPr="00321B5E">
        <w:rPr>
          <w:rFonts w:cs="Arial"/>
          <w:szCs w:val="24"/>
        </w:rPr>
        <w:lastRenderedPageBreak/>
        <w:t>nine</w:t>
      </w:r>
      <w:r w:rsidRPr="00321B5E">
        <w:rPr>
          <w:rFonts w:cs="Arial"/>
          <w:szCs w:val="24"/>
        </w:rPr>
        <w:t xml:space="preserve"> percent (</w:t>
      </w:r>
      <w:r w:rsidR="001D640C" w:rsidRPr="00321B5E">
        <w:rPr>
          <w:rFonts w:cs="Arial"/>
          <w:szCs w:val="24"/>
        </w:rPr>
        <w:t>69</w:t>
      </w:r>
      <w:r w:rsidRPr="00321B5E">
        <w:rPr>
          <w:rFonts w:cs="Arial"/>
          <w:szCs w:val="24"/>
        </w:rPr>
        <w:t>%) more than non-hardship customers contracting with a supplier.</w:t>
      </w:r>
      <w:r w:rsidRPr="00321B5E">
        <w:rPr>
          <w:rStyle w:val="FootnoteReference"/>
          <w:rFonts w:cs="Arial"/>
          <w:sz w:val="24"/>
          <w:szCs w:val="24"/>
        </w:rPr>
        <w:footnoteReference w:id="6"/>
      </w:r>
      <w:r w:rsidRPr="00321B5E">
        <w:rPr>
          <w:rFonts w:cs="Arial"/>
          <w:szCs w:val="24"/>
        </w:rPr>
        <w:t xml:space="preserve">  </w:t>
      </w:r>
      <w:r w:rsidR="00804734" w:rsidRPr="00321B5E">
        <w:rPr>
          <w:rFonts w:cs="Arial"/>
          <w:iCs/>
          <w:szCs w:val="24"/>
        </w:rPr>
        <w:t>Baldwin PFT</w:t>
      </w:r>
      <w:r w:rsidR="00804734" w:rsidRPr="00321B5E">
        <w:rPr>
          <w:rFonts w:cs="Arial"/>
          <w:szCs w:val="24"/>
        </w:rPr>
        <w:t>,</w:t>
      </w:r>
      <w:r w:rsidR="00424B63" w:rsidRPr="00321B5E">
        <w:rPr>
          <w:rFonts w:cs="Arial"/>
          <w:szCs w:val="24"/>
        </w:rPr>
        <w:t xml:space="preserve"> </w:t>
      </w:r>
      <w:r w:rsidR="00426CFC" w:rsidRPr="00321B5E">
        <w:rPr>
          <w:rFonts w:cs="Arial"/>
          <w:szCs w:val="24"/>
        </w:rPr>
        <w:t>p.</w:t>
      </w:r>
      <w:r w:rsidR="001D640C" w:rsidRPr="00321B5E">
        <w:rPr>
          <w:rFonts w:cs="Arial"/>
          <w:szCs w:val="24"/>
        </w:rPr>
        <w:t xml:space="preserve"> 33</w:t>
      </w:r>
      <w:r w:rsidR="00CD4C0F" w:rsidRPr="00321B5E">
        <w:rPr>
          <w:rFonts w:cs="Arial"/>
          <w:szCs w:val="24"/>
        </w:rPr>
        <w:t>-</w:t>
      </w:r>
      <w:r w:rsidR="001D640C" w:rsidRPr="00321B5E">
        <w:rPr>
          <w:rFonts w:cs="Arial"/>
          <w:szCs w:val="24"/>
        </w:rPr>
        <w:t xml:space="preserve">34, Table SMB-11. </w:t>
      </w:r>
      <w:r w:rsidR="009D4ACB" w:rsidRPr="00321B5E">
        <w:rPr>
          <w:rFonts w:cs="Arial"/>
          <w:szCs w:val="24"/>
        </w:rPr>
        <w:t xml:space="preserve"> </w:t>
      </w:r>
      <w:r w:rsidRPr="00321B5E">
        <w:rPr>
          <w:rFonts w:cs="Arial"/>
          <w:szCs w:val="24"/>
        </w:rPr>
        <w:t>This overpayment by hardship customers harms not only the customers, but also other Connecticut ratepayers funding the state and federal programs in which the hardship customers participate.  Pursuant to Conn. Gen. Stat. § 16-262c(b)(4), hardship customers can participate in the Matching Payments Program (MPP), which matches a hardship customer’s payments</w:t>
      </w:r>
      <w:r w:rsidR="00560101" w:rsidRPr="00321B5E">
        <w:rPr>
          <w:rFonts w:cs="Arial"/>
          <w:szCs w:val="24"/>
        </w:rPr>
        <w:t xml:space="preserve"> and Connecticut Energy Assistance Payments</w:t>
      </w:r>
      <w:r w:rsidR="00733E56" w:rsidRPr="00321B5E">
        <w:rPr>
          <w:rFonts w:cs="Arial"/>
          <w:szCs w:val="24"/>
        </w:rPr>
        <w:t xml:space="preserve"> (CEAP)</w:t>
      </w:r>
      <w:r w:rsidR="001D640C" w:rsidRPr="00321B5E">
        <w:rPr>
          <w:rFonts w:cs="Arial"/>
          <w:szCs w:val="24"/>
        </w:rPr>
        <w:t xml:space="preserve">.  </w:t>
      </w:r>
      <w:r w:rsidR="002B5A51" w:rsidRPr="00321B5E">
        <w:rPr>
          <w:rFonts w:cs="Arial"/>
          <w:i/>
          <w:szCs w:val="24"/>
        </w:rPr>
        <w:t>See</w:t>
      </w:r>
      <w:r w:rsidR="002B5A51" w:rsidRPr="00321B5E">
        <w:rPr>
          <w:rFonts w:cs="Arial"/>
          <w:szCs w:val="24"/>
        </w:rPr>
        <w:t xml:space="preserve"> LFE-1, p. 11.  </w:t>
      </w:r>
      <w:r w:rsidR="001D640C" w:rsidRPr="00321B5E">
        <w:rPr>
          <w:rFonts w:cs="Arial"/>
          <w:szCs w:val="24"/>
        </w:rPr>
        <w:t xml:space="preserve">If hardship customers are overpaying suppliers for their electricity, </w:t>
      </w:r>
      <w:r w:rsidR="00560101" w:rsidRPr="00321B5E">
        <w:rPr>
          <w:rFonts w:cs="Arial"/>
          <w:szCs w:val="24"/>
        </w:rPr>
        <w:t>it becomes</w:t>
      </w:r>
      <w:r w:rsidR="001D640C" w:rsidRPr="00321B5E">
        <w:rPr>
          <w:rFonts w:cs="Arial"/>
          <w:szCs w:val="24"/>
        </w:rPr>
        <w:t xml:space="preserve"> unnecessarily difficult for those customers to pay down their arrearages.  Furthermore, </w:t>
      </w:r>
      <w:r w:rsidR="009D4ACB" w:rsidRPr="00321B5E">
        <w:rPr>
          <w:rFonts w:cs="Arial"/>
          <w:szCs w:val="24"/>
        </w:rPr>
        <w:t xml:space="preserve">because </w:t>
      </w:r>
      <w:r w:rsidRPr="00321B5E">
        <w:rPr>
          <w:rFonts w:cs="Arial"/>
          <w:szCs w:val="24"/>
        </w:rPr>
        <w:t xml:space="preserve">MPP </w:t>
      </w:r>
      <w:r w:rsidR="00560101" w:rsidRPr="00321B5E">
        <w:rPr>
          <w:rFonts w:cs="Arial"/>
          <w:szCs w:val="24"/>
        </w:rPr>
        <w:t>and CEAP are publicly funded</w:t>
      </w:r>
      <w:r w:rsidR="009D4ACB" w:rsidRPr="00321B5E">
        <w:rPr>
          <w:rFonts w:cs="Arial"/>
          <w:szCs w:val="24"/>
        </w:rPr>
        <w:t xml:space="preserve">, </w:t>
      </w:r>
      <w:r w:rsidRPr="00321B5E">
        <w:rPr>
          <w:rFonts w:cs="Arial"/>
          <w:szCs w:val="24"/>
        </w:rPr>
        <w:t>to the extent hardship customers are overpaying suppliers</w:t>
      </w:r>
      <w:r w:rsidR="00707F3B" w:rsidRPr="00321B5E">
        <w:rPr>
          <w:rFonts w:cs="Arial"/>
          <w:szCs w:val="24"/>
        </w:rPr>
        <w:t>,</w:t>
      </w:r>
      <w:r w:rsidRPr="00321B5E">
        <w:rPr>
          <w:rFonts w:cs="Arial"/>
          <w:szCs w:val="24"/>
        </w:rPr>
        <w:t xml:space="preserve"> </w:t>
      </w:r>
      <w:r w:rsidR="00791846" w:rsidRPr="00321B5E">
        <w:rPr>
          <w:rFonts w:cs="Arial"/>
          <w:szCs w:val="24"/>
        </w:rPr>
        <w:t xml:space="preserve">all other electricity </w:t>
      </w:r>
      <w:r w:rsidRPr="00321B5E">
        <w:rPr>
          <w:rFonts w:cs="Arial"/>
          <w:szCs w:val="24"/>
        </w:rPr>
        <w:t xml:space="preserve">ratepayers are funding this overpayment.  </w:t>
      </w:r>
      <w:r w:rsidR="004C72F8" w:rsidRPr="00321B5E">
        <w:rPr>
          <w:rFonts w:cs="Arial"/>
          <w:szCs w:val="24"/>
        </w:rPr>
        <w:t>This</w:t>
      </w:r>
      <w:r w:rsidRPr="00321B5E">
        <w:rPr>
          <w:rFonts w:cs="Arial"/>
          <w:szCs w:val="24"/>
        </w:rPr>
        <w:t xml:space="preserve"> </w:t>
      </w:r>
      <w:r w:rsidR="00791846" w:rsidRPr="00321B5E">
        <w:rPr>
          <w:rFonts w:cs="Arial"/>
          <w:szCs w:val="24"/>
        </w:rPr>
        <w:t xml:space="preserve">overpayment results in a </w:t>
      </w:r>
      <w:r w:rsidRPr="00321B5E">
        <w:rPr>
          <w:rFonts w:cs="Arial"/>
          <w:szCs w:val="24"/>
        </w:rPr>
        <w:t xml:space="preserve">transfer </w:t>
      </w:r>
      <w:r w:rsidR="000C6C8D" w:rsidRPr="00321B5E">
        <w:rPr>
          <w:rFonts w:cs="Arial"/>
          <w:szCs w:val="24"/>
        </w:rPr>
        <w:t xml:space="preserve">of </w:t>
      </w:r>
      <w:r w:rsidRPr="00321B5E">
        <w:rPr>
          <w:rFonts w:cs="Arial"/>
          <w:szCs w:val="24"/>
        </w:rPr>
        <w:t xml:space="preserve">valuable </w:t>
      </w:r>
      <w:r w:rsidR="00791846" w:rsidRPr="00321B5E">
        <w:rPr>
          <w:rFonts w:cs="Arial"/>
          <w:szCs w:val="24"/>
        </w:rPr>
        <w:t xml:space="preserve">financial aid to hardship customers, </w:t>
      </w:r>
      <w:r w:rsidR="000C6C8D" w:rsidRPr="00321B5E">
        <w:rPr>
          <w:rFonts w:cs="Arial"/>
          <w:szCs w:val="24"/>
        </w:rPr>
        <w:t xml:space="preserve">the </w:t>
      </w:r>
      <w:r w:rsidR="00791846" w:rsidRPr="00321B5E">
        <w:rPr>
          <w:rFonts w:cs="Arial"/>
          <w:szCs w:val="24"/>
        </w:rPr>
        <w:t>MPP and CEAP funds,</w:t>
      </w:r>
      <w:r w:rsidRPr="00321B5E">
        <w:rPr>
          <w:rFonts w:cs="Arial"/>
          <w:szCs w:val="24"/>
        </w:rPr>
        <w:t xml:space="preserve"> from </w:t>
      </w:r>
      <w:r w:rsidR="000C6C8D" w:rsidRPr="00321B5E">
        <w:rPr>
          <w:rFonts w:cs="Arial"/>
          <w:szCs w:val="24"/>
        </w:rPr>
        <w:t>the</w:t>
      </w:r>
      <w:r w:rsidRPr="00321B5E">
        <w:rPr>
          <w:rFonts w:cs="Arial"/>
          <w:szCs w:val="24"/>
        </w:rPr>
        <w:t xml:space="preserve"> intended beneficiar</w:t>
      </w:r>
      <w:r w:rsidR="00791846" w:rsidRPr="00321B5E">
        <w:rPr>
          <w:rFonts w:cs="Arial"/>
          <w:szCs w:val="24"/>
        </w:rPr>
        <w:t>ies</w:t>
      </w:r>
      <w:r w:rsidRPr="00321B5E">
        <w:rPr>
          <w:rFonts w:cs="Arial"/>
          <w:szCs w:val="24"/>
        </w:rPr>
        <w:t xml:space="preserve"> to third</w:t>
      </w:r>
      <w:r w:rsidR="00C45E40" w:rsidRPr="00321B5E">
        <w:rPr>
          <w:rFonts w:cs="Arial"/>
          <w:szCs w:val="24"/>
        </w:rPr>
        <w:t>-</w:t>
      </w:r>
      <w:r w:rsidRPr="00321B5E">
        <w:rPr>
          <w:rFonts w:cs="Arial"/>
          <w:szCs w:val="24"/>
        </w:rPr>
        <w:t xml:space="preserve">party suppliers. </w:t>
      </w:r>
      <w:r w:rsidR="009D4ACB" w:rsidRPr="00321B5E">
        <w:rPr>
          <w:rFonts w:cs="Arial"/>
          <w:szCs w:val="24"/>
        </w:rPr>
        <w:t xml:space="preserve"> </w:t>
      </w:r>
      <w:r w:rsidR="00064391" w:rsidRPr="00321B5E">
        <w:rPr>
          <w:rFonts w:cs="Arial"/>
          <w:szCs w:val="24"/>
        </w:rPr>
        <w:t>H</w:t>
      </w:r>
      <w:r w:rsidR="00560101" w:rsidRPr="00321B5E">
        <w:rPr>
          <w:rFonts w:cs="Arial"/>
          <w:szCs w:val="24"/>
        </w:rPr>
        <w:t>ardship customers</w:t>
      </w:r>
      <w:r w:rsidR="00CD4C0F" w:rsidRPr="00321B5E">
        <w:rPr>
          <w:rFonts w:cs="Arial"/>
          <w:szCs w:val="24"/>
        </w:rPr>
        <w:t xml:space="preserve"> </w:t>
      </w:r>
      <w:r w:rsidR="00064391" w:rsidRPr="00321B5E">
        <w:rPr>
          <w:rFonts w:cs="Arial"/>
          <w:szCs w:val="24"/>
        </w:rPr>
        <w:t xml:space="preserve">receiving supply from third-party suppliers during the period studied </w:t>
      </w:r>
      <w:r w:rsidR="000C6C8D" w:rsidRPr="00321B5E">
        <w:rPr>
          <w:rFonts w:cs="Arial"/>
          <w:szCs w:val="24"/>
        </w:rPr>
        <w:t xml:space="preserve">on </w:t>
      </w:r>
      <w:r w:rsidR="00CD4C0F" w:rsidRPr="00321B5E">
        <w:rPr>
          <w:rFonts w:cs="Arial"/>
          <w:szCs w:val="24"/>
        </w:rPr>
        <w:t>average pa</w:t>
      </w:r>
      <w:r w:rsidR="000C6C8D" w:rsidRPr="00321B5E">
        <w:rPr>
          <w:rFonts w:cs="Arial"/>
          <w:szCs w:val="24"/>
        </w:rPr>
        <w:t>id</w:t>
      </w:r>
      <w:r w:rsidR="00CD4C0F" w:rsidRPr="00321B5E">
        <w:rPr>
          <w:rFonts w:cs="Arial"/>
          <w:szCs w:val="24"/>
        </w:rPr>
        <w:t xml:space="preserve"> </w:t>
      </w:r>
      <w:r w:rsidR="00560101" w:rsidRPr="00321B5E">
        <w:rPr>
          <w:rFonts w:cs="Arial"/>
          <w:szCs w:val="24"/>
        </w:rPr>
        <w:t>$143</w:t>
      </w:r>
      <w:r w:rsidR="00CD4C0F" w:rsidRPr="00321B5E">
        <w:rPr>
          <w:rFonts w:cs="Arial"/>
          <w:szCs w:val="24"/>
        </w:rPr>
        <w:t xml:space="preserve"> more </w:t>
      </w:r>
      <w:r w:rsidR="00064391" w:rsidRPr="00321B5E">
        <w:rPr>
          <w:rFonts w:cs="Arial"/>
          <w:szCs w:val="24"/>
        </w:rPr>
        <w:t>than they would have paid for standard service during that period</w:t>
      </w:r>
      <w:r w:rsidR="00560101" w:rsidRPr="00321B5E">
        <w:rPr>
          <w:rFonts w:cs="Arial"/>
          <w:szCs w:val="24"/>
        </w:rPr>
        <w:t xml:space="preserve">. </w:t>
      </w:r>
      <w:r w:rsidR="00560101" w:rsidRPr="00321B5E">
        <w:rPr>
          <w:rFonts w:cs="Arial"/>
          <w:i/>
          <w:iCs/>
          <w:szCs w:val="24"/>
        </w:rPr>
        <w:t xml:space="preserve">See </w:t>
      </w:r>
      <w:r w:rsidR="00424B63" w:rsidRPr="00321B5E">
        <w:rPr>
          <w:rFonts w:cs="Arial"/>
          <w:szCs w:val="24"/>
        </w:rPr>
        <w:t xml:space="preserve">Baldwin PFT, p. </w:t>
      </w:r>
      <w:r w:rsidR="00560101" w:rsidRPr="00321B5E">
        <w:rPr>
          <w:rFonts w:cs="Arial"/>
          <w:szCs w:val="24"/>
        </w:rPr>
        <w:t xml:space="preserve">4. </w:t>
      </w:r>
      <w:r w:rsidR="00CD4C0F" w:rsidRPr="00321B5E">
        <w:rPr>
          <w:rFonts w:cs="Arial"/>
          <w:szCs w:val="24"/>
        </w:rPr>
        <w:t xml:space="preserve"> With CEAP benefits averaging only $340 to $725 per year, the premium hardship customers pay to suppliers consumes a significant portion of </w:t>
      </w:r>
      <w:r w:rsidR="000C6C8D" w:rsidRPr="00321B5E">
        <w:rPr>
          <w:rFonts w:cs="Arial"/>
          <w:szCs w:val="24"/>
        </w:rPr>
        <w:t>each hardship customer</w:t>
      </w:r>
      <w:r w:rsidR="00C45E40" w:rsidRPr="00321B5E">
        <w:rPr>
          <w:rFonts w:cs="Arial"/>
          <w:szCs w:val="24"/>
        </w:rPr>
        <w:t>’</w:t>
      </w:r>
      <w:r w:rsidR="000C6C8D" w:rsidRPr="00321B5E">
        <w:rPr>
          <w:rFonts w:cs="Arial"/>
          <w:szCs w:val="24"/>
        </w:rPr>
        <w:t xml:space="preserve">s allotted </w:t>
      </w:r>
      <w:r w:rsidR="00CD4C0F" w:rsidRPr="00321B5E">
        <w:rPr>
          <w:rFonts w:cs="Arial"/>
          <w:szCs w:val="24"/>
        </w:rPr>
        <w:t>CEAP benefits</w:t>
      </w:r>
      <w:r w:rsidR="00560101" w:rsidRPr="00321B5E">
        <w:rPr>
          <w:rFonts w:cs="Arial"/>
          <w:szCs w:val="24"/>
        </w:rPr>
        <w:t xml:space="preserve">. </w:t>
      </w:r>
      <w:r w:rsidR="00560101" w:rsidRPr="00321B5E">
        <w:rPr>
          <w:rFonts w:cs="Arial"/>
          <w:i/>
          <w:iCs/>
          <w:szCs w:val="24"/>
        </w:rPr>
        <w:t xml:space="preserve">See </w:t>
      </w:r>
      <w:r w:rsidR="00CD4C0F" w:rsidRPr="00321B5E">
        <w:rPr>
          <w:rFonts w:cs="Arial"/>
          <w:szCs w:val="24"/>
        </w:rPr>
        <w:t xml:space="preserve">LFE-1, Exhibit A, p. </w:t>
      </w:r>
      <w:r w:rsidR="00560101" w:rsidRPr="00321B5E">
        <w:rPr>
          <w:rFonts w:cs="Arial"/>
          <w:szCs w:val="24"/>
        </w:rPr>
        <w:t xml:space="preserve">8. </w:t>
      </w:r>
      <w:r w:rsidR="00002DD1" w:rsidRPr="00321B5E">
        <w:rPr>
          <w:rFonts w:cs="Arial"/>
          <w:szCs w:val="24"/>
        </w:rPr>
        <w:t>If hardship customers only pay for the lowest cost supply option available rather than more costly supply options, t</w:t>
      </w:r>
      <w:r w:rsidRPr="00321B5E">
        <w:rPr>
          <w:rFonts w:cs="Arial"/>
          <w:szCs w:val="24"/>
        </w:rPr>
        <w:t xml:space="preserve">he Authority </w:t>
      </w:r>
      <w:r w:rsidR="00002DD1" w:rsidRPr="00321B5E">
        <w:rPr>
          <w:rFonts w:cs="Arial"/>
          <w:szCs w:val="24"/>
        </w:rPr>
        <w:t xml:space="preserve">finds that </w:t>
      </w:r>
      <w:r w:rsidRPr="00321B5E">
        <w:rPr>
          <w:rFonts w:cs="Arial"/>
          <w:szCs w:val="24"/>
        </w:rPr>
        <w:t xml:space="preserve"> </w:t>
      </w:r>
      <w:r w:rsidR="00002DD1" w:rsidRPr="00321B5E">
        <w:rPr>
          <w:rFonts w:cs="Arial"/>
          <w:szCs w:val="24"/>
        </w:rPr>
        <w:t xml:space="preserve">the social service programs will save </w:t>
      </w:r>
      <w:r w:rsidRPr="00321B5E">
        <w:rPr>
          <w:rFonts w:cs="Arial"/>
          <w:szCs w:val="24"/>
        </w:rPr>
        <w:t>millions of dollars  each year</w:t>
      </w:r>
      <w:r w:rsidR="00002DD1" w:rsidRPr="00321B5E">
        <w:rPr>
          <w:rFonts w:cs="Arial"/>
          <w:szCs w:val="24"/>
        </w:rPr>
        <w:t xml:space="preserve"> that may </w:t>
      </w:r>
      <w:r w:rsidR="00640710" w:rsidRPr="00321B5E">
        <w:rPr>
          <w:rFonts w:cs="Arial"/>
          <w:szCs w:val="24"/>
        </w:rPr>
        <w:t xml:space="preserve">then </w:t>
      </w:r>
      <w:r w:rsidR="00002DD1" w:rsidRPr="00321B5E">
        <w:rPr>
          <w:rFonts w:cs="Arial"/>
          <w:szCs w:val="24"/>
        </w:rPr>
        <w:t xml:space="preserve">be used to provide greater assistance to hardship customers and that these savings may also reduce the charges to all other electricity ratepayers who subsidize these assistance programs </w:t>
      </w:r>
      <w:r w:rsidR="00A504F8" w:rsidRPr="00321B5E">
        <w:rPr>
          <w:rFonts w:cs="Arial"/>
          <w:szCs w:val="24"/>
        </w:rPr>
        <w:t xml:space="preserve">for hardship customers </w:t>
      </w:r>
      <w:r w:rsidR="000C6C8D" w:rsidRPr="00321B5E">
        <w:rPr>
          <w:rFonts w:cs="Arial"/>
          <w:szCs w:val="24"/>
        </w:rPr>
        <w:t xml:space="preserve">as well as the </w:t>
      </w:r>
      <w:r w:rsidR="00A504F8" w:rsidRPr="00321B5E">
        <w:rPr>
          <w:rFonts w:cs="Arial"/>
          <w:szCs w:val="24"/>
        </w:rPr>
        <w:t xml:space="preserve">costs of </w:t>
      </w:r>
      <w:r w:rsidR="00002DD1" w:rsidRPr="00321B5E">
        <w:rPr>
          <w:rFonts w:cs="Arial"/>
          <w:szCs w:val="24"/>
        </w:rPr>
        <w:t>uncollectible accounts through their electricity rates</w:t>
      </w:r>
      <w:r w:rsidRPr="00321B5E">
        <w:rPr>
          <w:rFonts w:cs="Arial"/>
          <w:szCs w:val="24"/>
        </w:rPr>
        <w:t xml:space="preserve">.    </w:t>
      </w:r>
    </w:p>
    <w:p w:rsidR="0067159D" w:rsidRPr="00321B5E" w:rsidRDefault="0067159D" w:rsidP="0067159D">
      <w:pPr>
        <w:rPr>
          <w:rFonts w:cs="Arial"/>
          <w:szCs w:val="24"/>
        </w:rPr>
      </w:pPr>
    </w:p>
    <w:p w:rsidR="0067159D" w:rsidRPr="00321B5E" w:rsidRDefault="0067159D" w:rsidP="0067159D">
      <w:pPr>
        <w:ind w:firstLine="720"/>
        <w:rPr>
          <w:rFonts w:cs="Arial"/>
          <w:szCs w:val="24"/>
        </w:rPr>
      </w:pPr>
      <w:r w:rsidRPr="00321B5E">
        <w:rPr>
          <w:rFonts w:cs="Arial"/>
          <w:szCs w:val="24"/>
        </w:rPr>
        <w:t xml:space="preserve">The Authority finds that a long-term fixed price does not convey a substantial enough benefit to offset the overpayment by hardship customers.  </w:t>
      </w:r>
      <w:r w:rsidR="00C45E40" w:rsidRPr="00321B5E">
        <w:rPr>
          <w:rFonts w:cs="Arial"/>
          <w:szCs w:val="24"/>
        </w:rPr>
        <w:t xml:space="preserve">Moreover, </w:t>
      </w:r>
      <w:r w:rsidRPr="00321B5E">
        <w:rPr>
          <w:rFonts w:cs="Arial"/>
          <w:szCs w:val="24"/>
        </w:rPr>
        <w:t>RESA incorrectly refers to standard service as volatil</w:t>
      </w:r>
      <w:r w:rsidR="009D4ACB" w:rsidRPr="00321B5E">
        <w:rPr>
          <w:rFonts w:cs="Arial"/>
          <w:szCs w:val="24"/>
        </w:rPr>
        <w:t>e</w:t>
      </w:r>
      <w:r w:rsidRPr="00321B5E">
        <w:rPr>
          <w:rFonts w:cs="Arial"/>
          <w:szCs w:val="24"/>
        </w:rPr>
        <w:t>.</w:t>
      </w:r>
      <w:r w:rsidR="00042167" w:rsidRPr="00321B5E">
        <w:rPr>
          <w:rFonts w:cs="Arial"/>
          <w:szCs w:val="24"/>
        </w:rPr>
        <w:t xml:space="preserve"> </w:t>
      </w:r>
      <w:r w:rsidRPr="00321B5E">
        <w:rPr>
          <w:rFonts w:cs="Arial"/>
          <w:szCs w:val="24"/>
        </w:rPr>
        <w:t xml:space="preserve"> </w:t>
      </w:r>
      <w:r w:rsidR="00042167" w:rsidRPr="00321B5E">
        <w:rPr>
          <w:rFonts w:cs="Arial"/>
          <w:szCs w:val="24"/>
        </w:rPr>
        <w:t>RESA Brief at p. 14.</w:t>
      </w:r>
      <w:r w:rsidR="009D4ACB" w:rsidRPr="00321B5E">
        <w:rPr>
          <w:rFonts w:cs="Arial"/>
          <w:szCs w:val="24"/>
        </w:rPr>
        <w:t xml:space="preserve"> </w:t>
      </w:r>
      <w:r w:rsidRPr="00321B5E">
        <w:rPr>
          <w:rFonts w:cs="Arial"/>
          <w:szCs w:val="24"/>
        </w:rPr>
        <w:t xml:space="preserve"> There are only two standard service rates in one year and these rates are published in advance.  With few changes in rates and advance notification, customers can budget using standard service rates.  </w:t>
      </w:r>
      <w:r w:rsidR="00C45E40" w:rsidRPr="00321B5E">
        <w:rPr>
          <w:rFonts w:cs="Arial"/>
          <w:szCs w:val="24"/>
        </w:rPr>
        <w:t>Furthermore</w:t>
      </w:r>
      <w:r w:rsidRPr="00321B5E">
        <w:rPr>
          <w:rFonts w:cs="Arial"/>
          <w:szCs w:val="24"/>
        </w:rPr>
        <w:t xml:space="preserve">, RESA’s arguments miss the point – a long-term fixed rate from a supplier that requires a customer to pay more than they would </w:t>
      </w:r>
      <w:r w:rsidR="00CD4C0F" w:rsidRPr="00321B5E">
        <w:rPr>
          <w:rFonts w:cs="Arial"/>
          <w:szCs w:val="24"/>
        </w:rPr>
        <w:t xml:space="preserve">pay </w:t>
      </w:r>
      <w:r w:rsidRPr="00321B5E">
        <w:rPr>
          <w:rFonts w:cs="Arial"/>
          <w:szCs w:val="24"/>
        </w:rPr>
        <w:t>with standard service benefits no one other than the supplier.</w:t>
      </w:r>
    </w:p>
    <w:p w:rsidR="0067159D" w:rsidRPr="00321B5E" w:rsidRDefault="0067159D" w:rsidP="0067159D">
      <w:pPr>
        <w:rPr>
          <w:rFonts w:cs="Arial"/>
          <w:szCs w:val="24"/>
        </w:rPr>
      </w:pPr>
    </w:p>
    <w:p w:rsidR="0067159D" w:rsidRPr="00321B5E" w:rsidRDefault="0067159D" w:rsidP="0067159D">
      <w:pPr>
        <w:ind w:firstLine="720"/>
        <w:rPr>
          <w:rFonts w:cs="Arial"/>
          <w:szCs w:val="24"/>
        </w:rPr>
      </w:pPr>
      <w:r w:rsidRPr="00321B5E">
        <w:rPr>
          <w:rFonts w:cs="Arial"/>
          <w:szCs w:val="24"/>
        </w:rPr>
        <w:t xml:space="preserve">The Authority finds the “value-added products” offered by suppliers convey no </w:t>
      </w:r>
      <w:r w:rsidR="003F6173" w:rsidRPr="00321B5E">
        <w:rPr>
          <w:rFonts w:cs="Arial"/>
          <w:szCs w:val="24"/>
        </w:rPr>
        <w:t xml:space="preserve">demonstrable </w:t>
      </w:r>
      <w:r w:rsidRPr="00321B5E">
        <w:rPr>
          <w:rFonts w:cs="Arial"/>
          <w:szCs w:val="24"/>
        </w:rPr>
        <w:t>overall benefit</w:t>
      </w:r>
      <w:r w:rsidR="003F6173" w:rsidRPr="00321B5E">
        <w:rPr>
          <w:rFonts w:cs="Arial"/>
          <w:szCs w:val="24"/>
        </w:rPr>
        <w:t xml:space="preserve"> based o</w:t>
      </w:r>
      <w:r w:rsidR="00733E56" w:rsidRPr="00321B5E">
        <w:rPr>
          <w:rFonts w:cs="Arial"/>
          <w:szCs w:val="24"/>
        </w:rPr>
        <w:t>n the (lack of) record evidence.</w:t>
      </w:r>
      <w:r w:rsidRPr="00321B5E">
        <w:rPr>
          <w:rFonts w:cs="Arial"/>
          <w:szCs w:val="24"/>
        </w:rPr>
        <w:t xml:space="preserve"> RESA offered no evidence regarding how many hardship customers </w:t>
      </w:r>
      <w:r w:rsidR="009D4ACB" w:rsidRPr="00321B5E">
        <w:rPr>
          <w:rFonts w:cs="Arial"/>
          <w:szCs w:val="24"/>
        </w:rPr>
        <w:t xml:space="preserve">actually </w:t>
      </w:r>
      <w:r w:rsidRPr="00321B5E">
        <w:rPr>
          <w:rFonts w:cs="Arial"/>
          <w:szCs w:val="24"/>
        </w:rPr>
        <w:t xml:space="preserve">receive “value-added products,” nor did it offer evidence regarding </w:t>
      </w:r>
      <w:r w:rsidR="00E30467" w:rsidRPr="00321B5E">
        <w:rPr>
          <w:rFonts w:cs="Arial"/>
          <w:szCs w:val="24"/>
        </w:rPr>
        <w:t xml:space="preserve">the actual value of these products or the </w:t>
      </w:r>
      <w:r w:rsidRPr="00321B5E">
        <w:rPr>
          <w:rFonts w:cs="Arial"/>
          <w:szCs w:val="24"/>
        </w:rPr>
        <w:t>specific products, such as how many hardship customers receive energy-efficient thermostats, install such thermostats, or even that the hardship customers own the property in which they live and are able to install such thermostats.  Furthermore, while gift cards and rebates might benefit the recipient, they do not benefit all Connecticut ratepayers that are contributing to the hardship payments</w:t>
      </w:r>
      <w:r w:rsidR="00C06A6F" w:rsidRPr="00321B5E">
        <w:rPr>
          <w:rFonts w:cs="Arial"/>
          <w:szCs w:val="24"/>
        </w:rPr>
        <w:t xml:space="preserve"> and there is no evidence they offset the customer’s overpayment</w:t>
      </w:r>
      <w:r w:rsidRPr="00321B5E">
        <w:rPr>
          <w:rFonts w:cs="Arial"/>
          <w:szCs w:val="24"/>
        </w:rPr>
        <w:t xml:space="preserve">.      </w:t>
      </w:r>
    </w:p>
    <w:p w:rsidR="0067159D" w:rsidRPr="00321B5E" w:rsidRDefault="0067159D" w:rsidP="0067159D">
      <w:pPr>
        <w:rPr>
          <w:rFonts w:cs="Arial"/>
          <w:szCs w:val="24"/>
        </w:rPr>
      </w:pPr>
    </w:p>
    <w:p w:rsidR="0067159D" w:rsidRPr="00321B5E" w:rsidRDefault="0067159D" w:rsidP="00A45F17">
      <w:pPr>
        <w:pStyle w:val="Heading2"/>
        <w:numPr>
          <w:ilvl w:val="1"/>
          <w:numId w:val="29"/>
        </w:numPr>
        <w:rPr>
          <w:rFonts w:cs="Arial"/>
          <w:szCs w:val="24"/>
          <w:u w:val="single"/>
        </w:rPr>
      </w:pPr>
      <w:bookmarkStart w:id="29" w:name="_Toc26174997"/>
      <w:r w:rsidRPr="00321B5E">
        <w:rPr>
          <w:rFonts w:cs="Arial"/>
          <w:szCs w:val="24"/>
          <w:u w:val="single"/>
        </w:rPr>
        <w:lastRenderedPageBreak/>
        <w:t>Feasibility and Costs</w:t>
      </w:r>
      <w:bookmarkEnd w:id="29"/>
    </w:p>
    <w:p w:rsidR="0067159D" w:rsidRPr="00321B5E" w:rsidRDefault="0067159D" w:rsidP="0067159D">
      <w:pPr>
        <w:rPr>
          <w:rFonts w:cs="Arial"/>
          <w:szCs w:val="24"/>
        </w:rPr>
      </w:pPr>
    </w:p>
    <w:p w:rsidR="0067159D" w:rsidRPr="00321B5E" w:rsidRDefault="0067159D" w:rsidP="0067159D">
      <w:pPr>
        <w:ind w:firstLine="720"/>
        <w:rPr>
          <w:rFonts w:cs="Arial"/>
          <w:szCs w:val="24"/>
        </w:rPr>
      </w:pPr>
      <w:r w:rsidRPr="00321B5E">
        <w:rPr>
          <w:rFonts w:cs="Arial"/>
          <w:szCs w:val="24"/>
        </w:rPr>
        <w:t xml:space="preserve">The Authority finds that it is both feasible and not cost prohibitive to place all hardship customers on standard service.  Eversource offered evidence that for </w:t>
      </w:r>
      <w:r w:rsidR="00733E56" w:rsidRPr="00321B5E">
        <w:rPr>
          <w:rFonts w:cs="Arial"/>
          <w:szCs w:val="24"/>
        </w:rPr>
        <w:t xml:space="preserve">a one-time cost of </w:t>
      </w:r>
      <w:r w:rsidR="00147B63" w:rsidRPr="00321B5E">
        <w:rPr>
          <w:rFonts w:cs="Arial"/>
          <w:szCs w:val="24"/>
        </w:rPr>
        <w:t>less than</w:t>
      </w:r>
      <w:r w:rsidRPr="00321B5E">
        <w:rPr>
          <w:rFonts w:cs="Arial"/>
          <w:szCs w:val="24"/>
        </w:rPr>
        <w:t xml:space="preserve"> $400,000, it can both return existing hardship customers to standard service and program its system to prevent hardship customers from contracting with a supplier.  </w:t>
      </w:r>
      <w:r w:rsidRPr="00321B5E">
        <w:rPr>
          <w:rFonts w:cs="Arial"/>
          <w:i/>
          <w:szCs w:val="24"/>
        </w:rPr>
        <w:t>See</w:t>
      </w:r>
      <w:r w:rsidRPr="00321B5E">
        <w:rPr>
          <w:rFonts w:cs="Arial"/>
          <w:szCs w:val="24"/>
        </w:rPr>
        <w:t xml:space="preserve"> Response to Interrogatory OCC-41, LFE-4.</w:t>
      </w:r>
      <w:r w:rsidRPr="00321B5E">
        <w:rPr>
          <w:rStyle w:val="FootnoteReference"/>
          <w:rFonts w:cs="Arial"/>
          <w:sz w:val="24"/>
          <w:szCs w:val="24"/>
        </w:rPr>
        <w:footnoteReference w:id="7"/>
      </w:r>
      <w:r w:rsidRPr="00321B5E">
        <w:rPr>
          <w:rFonts w:cs="Arial"/>
          <w:szCs w:val="24"/>
        </w:rPr>
        <w:t xml:space="preserve">  UI offered evidence that for </w:t>
      </w:r>
      <w:r w:rsidR="00733E56" w:rsidRPr="00321B5E">
        <w:rPr>
          <w:rFonts w:cs="Arial"/>
          <w:szCs w:val="24"/>
        </w:rPr>
        <w:t xml:space="preserve">a one-time cost of </w:t>
      </w:r>
      <w:r w:rsidRPr="00321B5E">
        <w:rPr>
          <w:rFonts w:cs="Arial"/>
          <w:szCs w:val="24"/>
        </w:rPr>
        <w:t xml:space="preserve">approximately $120,000 it can do the same.  </w:t>
      </w:r>
      <w:r w:rsidRPr="00321B5E">
        <w:rPr>
          <w:rFonts w:cs="Arial"/>
          <w:i/>
          <w:szCs w:val="24"/>
        </w:rPr>
        <w:t>See id</w:t>
      </w:r>
      <w:r w:rsidRPr="00321B5E">
        <w:rPr>
          <w:rFonts w:cs="Arial"/>
          <w:szCs w:val="24"/>
        </w:rPr>
        <w:t xml:space="preserve">.  When balanced with the ongoing savings that could be achieved by returning hardship customers to standard service, </w:t>
      </w:r>
      <w:r w:rsidR="00C06A6F" w:rsidRPr="00321B5E">
        <w:rPr>
          <w:rFonts w:cs="Arial"/>
          <w:szCs w:val="24"/>
        </w:rPr>
        <w:t xml:space="preserve">the Authority finds </w:t>
      </w:r>
      <w:r w:rsidRPr="00321B5E">
        <w:rPr>
          <w:rFonts w:cs="Arial"/>
          <w:szCs w:val="24"/>
        </w:rPr>
        <w:t xml:space="preserve">these one-time costs are not excessive.  </w:t>
      </w:r>
    </w:p>
    <w:p w:rsidR="0067159D" w:rsidRPr="00321B5E" w:rsidRDefault="0067159D" w:rsidP="0067159D">
      <w:pPr>
        <w:rPr>
          <w:rFonts w:cs="Arial"/>
          <w:szCs w:val="24"/>
        </w:rPr>
      </w:pPr>
      <w:r w:rsidRPr="00321B5E">
        <w:rPr>
          <w:rFonts w:cs="Arial"/>
          <w:szCs w:val="24"/>
        </w:rPr>
        <w:t xml:space="preserve">  </w:t>
      </w:r>
    </w:p>
    <w:p w:rsidR="0067159D" w:rsidRPr="00321B5E" w:rsidRDefault="0067159D" w:rsidP="0067159D">
      <w:pPr>
        <w:ind w:firstLine="720"/>
        <w:rPr>
          <w:rFonts w:cs="Arial"/>
          <w:szCs w:val="24"/>
        </w:rPr>
      </w:pPr>
      <w:r w:rsidRPr="00321B5E">
        <w:rPr>
          <w:rFonts w:cs="Arial"/>
          <w:szCs w:val="24"/>
        </w:rPr>
        <w:t xml:space="preserve">RESA proffers many logistical hurdles, but </w:t>
      </w:r>
      <w:r w:rsidR="0013522B" w:rsidRPr="00321B5E">
        <w:rPr>
          <w:rFonts w:cs="Arial"/>
          <w:szCs w:val="24"/>
        </w:rPr>
        <w:t xml:space="preserve">the record indicates that </w:t>
      </w:r>
      <w:r w:rsidRPr="00321B5E">
        <w:rPr>
          <w:rFonts w:cs="Arial"/>
          <w:szCs w:val="24"/>
        </w:rPr>
        <w:t xml:space="preserve">all of these can be overcome.  The EDCs can implement both the ability to identify a hardship customer according </w:t>
      </w:r>
      <w:r w:rsidR="00E61D3E" w:rsidRPr="00321B5E">
        <w:rPr>
          <w:rFonts w:cs="Arial"/>
          <w:szCs w:val="24"/>
        </w:rPr>
        <w:t xml:space="preserve">to </w:t>
      </w:r>
      <w:r w:rsidRPr="00321B5E">
        <w:rPr>
          <w:rFonts w:cs="Arial"/>
          <w:szCs w:val="24"/>
        </w:rPr>
        <w:t xml:space="preserve">the statutory definition and the ability to notify the supplier of a rejection code of </w:t>
      </w:r>
      <w:r w:rsidR="009D4ACB" w:rsidRPr="00321B5E">
        <w:rPr>
          <w:rFonts w:cs="Arial"/>
          <w:szCs w:val="24"/>
        </w:rPr>
        <w:t>“</w:t>
      </w:r>
      <w:r w:rsidRPr="00321B5E">
        <w:rPr>
          <w:rFonts w:cs="Arial"/>
          <w:szCs w:val="24"/>
        </w:rPr>
        <w:t>other.</w:t>
      </w:r>
      <w:r w:rsidR="009D4ACB" w:rsidRPr="00321B5E">
        <w:rPr>
          <w:rFonts w:cs="Arial"/>
          <w:szCs w:val="24"/>
        </w:rPr>
        <w:t>”</w:t>
      </w:r>
      <w:r w:rsidRPr="00321B5E">
        <w:rPr>
          <w:rStyle w:val="FootnoteReference"/>
          <w:rFonts w:cs="Arial"/>
          <w:sz w:val="24"/>
          <w:szCs w:val="24"/>
        </w:rPr>
        <w:footnoteReference w:id="8"/>
      </w:r>
      <w:r w:rsidRPr="00321B5E">
        <w:rPr>
          <w:rFonts w:cs="Arial"/>
          <w:szCs w:val="24"/>
        </w:rPr>
        <w:t xml:space="preserve">  A hardship code associated with a customer’s name in the EDCs’ billing system can be removed when the customer no longer meets the statutory definition, thus allowing that customer to reengage with third-party suppliers if he or she chooses. </w:t>
      </w:r>
      <w:r w:rsidR="009D4ACB" w:rsidRPr="00321B5E">
        <w:rPr>
          <w:rFonts w:cs="Arial"/>
          <w:szCs w:val="24"/>
        </w:rPr>
        <w:t xml:space="preserve"> </w:t>
      </w:r>
      <w:r w:rsidRPr="00321B5E">
        <w:rPr>
          <w:rFonts w:cs="Arial"/>
          <w:szCs w:val="24"/>
        </w:rPr>
        <w:t xml:space="preserve">Furthermore, the EDCs can contact existing hardship customers via their preferred method of communication to notify them of the change in policy.  </w:t>
      </w:r>
    </w:p>
    <w:p w:rsidR="0067159D" w:rsidRPr="00321B5E" w:rsidRDefault="0067159D" w:rsidP="0067159D">
      <w:pPr>
        <w:rPr>
          <w:rFonts w:cs="Arial"/>
          <w:szCs w:val="24"/>
        </w:rPr>
      </w:pPr>
    </w:p>
    <w:p w:rsidR="0067159D" w:rsidRPr="00321B5E" w:rsidRDefault="006C23F0" w:rsidP="0067159D">
      <w:pPr>
        <w:ind w:firstLine="720"/>
        <w:rPr>
          <w:rFonts w:cs="Arial"/>
          <w:szCs w:val="24"/>
        </w:rPr>
      </w:pPr>
      <w:r w:rsidRPr="00321B5E">
        <w:rPr>
          <w:rFonts w:cs="Arial"/>
          <w:szCs w:val="24"/>
        </w:rPr>
        <w:t>As part of LFE-</w:t>
      </w:r>
      <w:r w:rsidR="002E2979" w:rsidRPr="00321B5E">
        <w:rPr>
          <w:rFonts w:cs="Arial"/>
          <w:szCs w:val="24"/>
        </w:rPr>
        <w:t>4, the EDCs submitted e</w:t>
      </w:r>
      <w:r w:rsidR="00522317" w:rsidRPr="00321B5E">
        <w:rPr>
          <w:rFonts w:cs="Arial"/>
          <w:szCs w:val="24"/>
        </w:rPr>
        <w:t>stimates</w:t>
      </w:r>
      <w:r w:rsidR="009D4ACB" w:rsidRPr="00321B5E">
        <w:rPr>
          <w:rFonts w:cs="Arial"/>
          <w:szCs w:val="24"/>
        </w:rPr>
        <w:t xml:space="preserve"> for</w:t>
      </w:r>
      <w:r w:rsidR="00522317" w:rsidRPr="00321B5E">
        <w:rPr>
          <w:rFonts w:cs="Arial"/>
          <w:szCs w:val="24"/>
        </w:rPr>
        <w:t xml:space="preserve">:  a. switching current supplier hardship customers to standard service; b. coding to ensure new hardship customers cannot contract with a supplier; c. </w:t>
      </w:r>
      <w:r w:rsidR="009D4ACB" w:rsidRPr="00321B5E">
        <w:rPr>
          <w:rFonts w:cs="Arial"/>
          <w:szCs w:val="24"/>
        </w:rPr>
        <w:t>sending</w:t>
      </w:r>
      <w:r w:rsidR="00511976" w:rsidRPr="00321B5E">
        <w:rPr>
          <w:rFonts w:cs="Arial"/>
          <w:szCs w:val="24"/>
        </w:rPr>
        <w:t xml:space="preserve"> </w:t>
      </w:r>
      <w:r w:rsidR="009D4ACB" w:rsidRPr="00321B5E">
        <w:rPr>
          <w:rFonts w:cs="Arial"/>
          <w:szCs w:val="24"/>
        </w:rPr>
        <w:t>monthly</w:t>
      </w:r>
      <w:r w:rsidR="00522317" w:rsidRPr="00321B5E">
        <w:rPr>
          <w:rFonts w:cs="Arial"/>
          <w:szCs w:val="24"/>
        </w:rPr>
        <w:t xml:space="preserve"> texts and/or emails to supplier hardship customers with rates greater than standard service; d. texting and/or emailing hardship customers when they are prevented from enrolling with a supplier; e. educating social agency staff; and f. educating customer service </w:t>
      </w:r>
      <w:r w:rsidR="009D4ACB" w:rsidRPr="00321B5E">
        <w:rPr>
          <w:rFonts w:cs="Arial"/>
          <w:szCs w:val="24"/>
        </w:rPr>
        <w:t>representatives</w:t>
      </w:r>
      <w:r w:rsidR="00522317" w:rsidRPr="00321B5E">
        <w:rPr>
          <w:rFonts w:cs="Arial"/>
          <w:szCs w:val="24"/>
        </w:rPr>
        <w:t xml:space="preserve">.  Both EDCs indicated costs associated with LFE-4 e and f were </w:t>
      </w:r>
      <w:r w:rsidR="00522317" w:rsidRPr="00321B5E">
        <w:rPr>
          <w:rFonts w:cs="Arial"/>
          <w:i/>
          <w:iCs/>
          <w:szCs w:val="24"/>
        </w:rPr>
        <w:t>de minimis</w:t>
      </w:r>
      <w:r w:rsidR="00522317" w:rsidRPr="00321B5E">
        <w:rPr>
          <w:rFonts w:cs="Arial"/>
          <w:szCs w:val="24"/>
        </w:rPr>
        <w:t xml:space="preserve">.  The Authority finds costs associated with LFE-4 c and d to be unnecessary. </w:t>
      </w:r>
      <w:r w:rsidR="0067159D" w:rsidRPr="00321B5E">
        <w:rPr>
          <w:rFonts w:cs="Arial"/>
          <w:szCs w:val="24"/>
        </w:rPr>
        <w:t xml:space="preserve">  If hardship customers are on standard service, RESA’s proposal to text or email the customers monthly who are paying greater than standard service </w:t>
      </w:r>
      <w:r w:rsidR="00C06A6F" w:rsidRPr="00321B5E">
        <w:rPr>
          <w:rFonts w:cs="Arial"/>
          <w:szCs w:val="24"/>
        </w:rPr>
        <w:t>is no longer needed</w:t>
      </w:r>
      <w:r w:rsidR="0067159D" w:rsidRPr="00321B5E">
        <w:rPr>
          <w:rFonts w:cs="Arial"/>
          <w:szCs w:val="24"/>
        </w:rPr>
        <w:t xml:space="preserve">.  As noted previously, Docket No. 14-07-19RE05 already requires suppliers to notify customers if their enrollment is rejected; it would be redundant for the EDCs to provide the same notification to customers.   </w:t>
      </w:r>
    </w:p>
    <w:p w:rsidR="0067159D" w:rsidRPr="00321B5E" w:rsidRDefault="0067159D" w:rsidP="0067159D">
      <w:pPr>
        <w:rPr>
          <w:rFonts w:cs="Arial"/>
          <w:szCs w:val="24"/>
        </w:rPr>
      </w:pPr>
    </w:p>
    <w:p w:rsidR="0067159D" w:rsidRPr="00321B5E" w:rsidRDefault="0067159D" w:rsidP="0067159D">
      <w:pPr>
        <w:ind w:firstLine="720"/>
        <w:rPr>
          <w:rFonts w:cs="Arial"/>
          <w:szCs w:val="24"/>
        </w:rPr>
      </w:pPr>
      <w:r w:rsidRPr="00321B5E">
        <w:rPr>
          <w:rFonts w:cs="Arial"/>
          <w:szCs w:val="24"/>
        </w:rPr>
        <w:t xml:space="preserve">RESA did not demonstrate that returning hardship customers to standard service impacts the state’s clean energy goals.  The evidence in this docket did not indicate that hardship customers contract with a supplier to purchase clean energy.  In fact, the evidence did not even indicate that hardship customers with suppliers are purchasing more clean energy than if they were on standard service.  Achieving clean energy goals </w:t>
      </w:r>
      <w:r w:rsidRPr="00321B5E">
        <w:rPr>
          <w:rFonts w:cs="Arial"/>
          <w:szCs w:val="24"/>
        </w:rPr>
        <w:lastRenderedPageBreak/>
        <w:t xml:space="preserve">is laudable, but the Authority finds the state can achieve its clean energy goals without forcing Connecticut customers to subsidize inflated supplier rates. </w:t>
      </w:r>
    </w:p>
    <w:p w:rsidR="0067159D" w:rsidRPr="00321B5E" w:rsidRDefault="0067159D" w:rsidP="0067159D">
      <w:pPr>
        <w:rPr>
          <w:rFonts w:cs="Arial"/>
          <w:szCs w:val="24"/>
        </w:rPr>
      </w:pPr>
    </w:p>
    <w:p w:rsidR="0067159D" w:rsidRPr="00321B5E" w:rsidRDefault="0067159D" w:rsidP="0067159D">
      <w:pPr>
        <w:ind w:firstLine="720"/>
        <w:rPr>
          <w:rFonts w:cs="Arial"/>
          <w:szCs w:val="24"/>
        </w:rPr>
      </w:pPr>
      <w:r w:rsidRPr="00321B5E">
        <w:rPr>
          <w:rFonts w:cs="Arial"/>
          <w:szCs w:val="24"/>
        </w:rPr>
        <w:t xml:space="preserve">RESA argues the statute does not require the Authority to return hardship customers with existing contracts to standard service, but that is </w:t>
      </w:r>
      <w:r w:rsidRPr="00321B5E">
        <w:rPr>
          <w:rFonts w:cs="Arial"/>
          <w:i/>
          <w:szCs w:val="24"/>
        </w:rPr>
        <w:t>exactly</w:t>
      </w:r>
      <w:r w:rsidRPr="00321B5E">
        <w:rPr>
          <w:rFonts w:cs="Arial"/>
          <w:szCs w:val="24"/>
        </w:rPr>
        <w:t xml:space="preserve"> what the statute envisions.  The statute instructs the Authority to evaluate placing on standard service </w:t>
      </w:r>
      <w:r w:rsidRPr="00321B5E">
        <w:rPr>
          <w:rFonts w:cs="Arial"/>
          <w:szCs w:val="24"/>
          <w:u w:val="single"/>
        </w:rPr>
        <w:t>all</w:t>
      </w:r>
      <w:r w:rsidRPr="00321B5E">
        <w:rPr>
          <w:rFonts w:cs="Arial"/>
          <w:szCs w:val="24"/>
        </w:rPr>
        <w:t xml:space="preserve"> hardship customers of all electric suppliers.  The statute does not draw a distinction between future and existing customers, and it would be counterproductive to draw such a distinction.  Allowing any hardship customers to remain with a third</w:t>
      </w:r>
      <w:r w:rsidR="0013522B" w:rsidRPr="00321B5E">
        <w:rPr>
          <w:rFonts w:cs="Arial"/>
          <w:szCs w:val="24"/>
        </w:rPr>
        <w:t>-</w:t>
      </w:r>
      <w:r w:rsidRPr="00321B5E">
        <w:rPr>
          <w:rFonts w:cs="Arial"/>
          <w:szCs w:val="24"/>
        </w:rPr>
        <w:t xml:space="preserve">party supplier not only would defeat the purpose of the statute, but it would significantly reduce the benefits of returning hardship customers to standard service and would produce an unworkable result for application. </w:t>
      </w:r>
    </w:p>
    <w:p w:rsidR="00264DFA" w:rsidRPr="00321B5E" w:rsidRDefault="00264DFA" w:rsidP="0067159D">
      <w:pPr>
        <w:ind w:firstLine="720"/>
        <w:rPr>
          <w:rFonts w:cs="Arial"/>
          <w:szCs w:val="24"/>
        </w:rPr>
      </w:pPr>
    </w:p>
    <w:p w:rsidR="00A80DBD" w:rsidRPr="00321B5E" w:rsidRDefault="00C06A6F" w:rsidP="00B5782F">
      <w:pPr>
        <w:ind w:firstLine="720"/>
        <w:rPr>
          <w:rFonts w:cs="Arial"/>
          <w:szCs w:val="24"/>
        </w:rPr>
      </w:pPr>
      <w:r w:rsidRPr="00321B5E">
        <w:rPr>
          <w:rFonts w:cs="Arial"/>
          <w:szCs w:val="24"/>
        </w:rPr>
        <w:t xml:space="preserve">The Authority rejects </w:t>
      </w:r>
      <w:r w:rsidR="00264DFA" w:rsidRPr="00321B5E">
        <w:rPr>
          <w:rFonts w:cs="Arial"/>
          <w:szCs w:val="24"/>
        </w:rPr>
        <w:t>RESA</w:t>
      </w:r>
      <w:r w:rsidRPr="00321B5E">
        <w:rPr>
          <w:rFonts w:cs="Arial"/>
          <w:szCs w:val="24"/>
        </w:rPr>
        <w:t>’s argument that</w:t>
      </w:r>
      <w:r w:rsidR="00A7626F" w:rsidRPr="00321B5E">
        <w:rPr>
          <w:rFonts w:cs="Arial"/>
          <w:szCs w:val="24"/>
        </w:rPr>
        <w:t xml:space="preserve"> </w:t>
      </w:r>
      <w:r w:rsidR="00264DFA" w:rsidRPr="00321B5E">
        <w:rPr>
          <w:rFonts w:cs="Arial"/>
          <w:szCs w:val="24"/>
        </w:rPr>
        <w:t>there are Constitutional imped</w:t>
      </w:r>
      <w:r w:rsidR="009D4ACB" w:rsidRPr="00321B5E">
        <w:rPr>
          <w:rFonts w:cs="Arial"/>
          <w:szCs w:val="24"/>
        </w:rPr>
        <w:t>i</w:t>
      </w:r>
      <w:r w:rsidR="00264DFA" w:rsidRPr="00321B5E">
        <w:rPr>
          <w:rFonts w:cs="Arial"/>
          <w:szCs w:val="24"/>
        </w:rPr>
        <w:t xml:space="preserve">ments to requiring hardship customers </w:t>
      </w:r>
      <w:r w:rsidR="00A80DBD" w:rsidRPr="00321B5E">
        <w:rPr>
          <w:rFonts w:cs="Arial"/>
          <w:szCs w:val="24"/>
        </w:rPr>
        <w:t xml:space="preserve">to </w:t>
      </w:r>
      <w:r w:rsidR="00264DFA" w:rsidRPr="00321B5E">
        <w:rPr>
          <w:rFonts w:cs="Arial"/>
          <w:szCs w:val="24"/>
        </w:rPr>
        <w:t xml:space="preserve">receive supply from standard service.  Citing to the Contracts Clause in Article I, Section 10 of the U.S. Constitution, RESA argues Conn. Gen. Stat. § 16-245o(m) impermissibly infringes on contract rights because it </w:t>
      </w:r>
      <w:r w:rsidR="001056D2" w:rsidRPr="00321B5E">
        <w:rPr>
          <w:rFonts w:cs="Arial"/>
          <w:szCs w:val="24"/>
        </w:rPr>
        <w:t>substantially impairs contract rights.</w:t>
      </w:r>
      <w:r w:rsidR="00B5782F" w:rsidRPr="00321B5E">
        <w:rPr>
          <w:rFonts w:cs="Arial"/>
          <w:szCs w:val="24"/>
        </w:rPr>
        <w:t xml:space="preserve"> RESA Brief, p. 5-6</w:t>
      </w:r>
      <w:r w:rsidR="00A80DBD" w:rsidRPr="00321B5E">
        <w:rPr>
          <w:rFonts w:cs="Arial"/>
          <w:szCs w:val="24"/>
        </w:rPr>
        <w:t>.</w:t>
      </w:r>
      <w:r w:rsidR="00B5782F" w:rsidRPr="00321B5E">
        <w:rPr>
          <w:rFonts w:cs="Arial"/>
          <w:szCs w:val="24"/>
        </w:rPr>
        <w:t xml:space="preserve">  </w:t>
      </w:r>
      <w:r w:rsidR="00A80DBD" w:rsidRPr="00321B5E">
        <w:rPr>
          <w:rFonts w:cs="Arial"/>
          <w:szCs w:val="24"/>
        </w:rPr>
        <w:t xml:space="preserve">To begin, the statute has been in effect since June 3, 2014.  Suppliers have known for five years that there was a possibility hardship customers could be returned to standard service, yet they voluntarily continued contracting with hardship customers and </w:t>
      </w:r>
      <w:r w:rsidR="0013522B" w:rsidRPr="00321B5E">
        <w:rPr>
          <w:rFonts w:cs="Arial"/>
          <w:szCs w:val="24"/>
        </w:rPr>
        <w:t xml:space="preserve">in doing so </w:t>
      </w:r>
      <w:r w:rsidR="00A80DBD" w:rsidRPr="00321B5E">
        <w:rPr>
          <w:rFonts w:cs="Arial"/>
          <w:szCs w:val="24"/>
        </w:rPr>
        <w:t>receiv</w:t>
      </w:r>
      <w:r w:rsidR="0013522B" w:rsidRPr="00321B5E">
        <w:rPr>
          <w:rFonts w:cs="Arial"/>
          <w:szCs w:val="24"/>
        </w:rPr>
        <w:t>ed</w:t>
      </w:r>
      <w:r w:rsidR="00A80DBD" w:rsidRPr="00321B5E">
        <w:rPr>
          <w:rFonts w:cs="Arial"/>
          <w:szCs w:val="24"/>
        </w:rPr>
        <w:t xml:space="preserve"> a premium for those contracts.  Suppliers cannot now feign surprise at a contingency they were aware of and could have planned for.</w:t>
      </w:r>
    </w:p>
    <w:p w:rsidR="00A80DBD" w:rsidRPr="00321B5E" w:rsidRDefault="00A80DBD" w:rsidP="00B5782F">
      <w:pPr>
        <w:ind w:firstLine="720"/>
        <w:rPr>
          <w:rFonts w:cs="Arial"/>
          <w:szCs w:val="24"/>
        </w:rPr>
      </w:pPr>
    </w:p>
    <w:p w:rsidR="0067159D" w:rsidRPr="00321B5E" w:rsidRDefault="00A80DBD" w:rsidP="00B5782F">
      <w:pPr>
        <w:ind w:firstLine="720"/>
        <w:rPr>
          <w:rFonts w:cs="Arial"/>
          <w:szCs w:val="24"/>
        </w:rPr>
      </w:pPr>
      <w:r w:rsidRPr="00321B5E">
        <w:rPr>
          <w:rFonts w:cs="Arial"/>
          <w:szCs w:val="24"/>
        </w:rPr>
        <w:t>Moreover, a</w:t>
      </w:r>
      <w:r w:rsidR="0067159D" w:rsidRPr="00321B5E">
        <w:rPr>
          <w:rFonts w:cs="Arial"/>
          <w:szCs w:val="24"/>
        </w:rPr>
        <w:t xml:space="preserve">s RESA </w:t>
      </w:r>
      <w:r w:rsidR="001056D2" w:rsidRPr="00321B5E">
        <w:rPr>
          <w:rFonts w:cs="Arial"/>
          <w:szCs w:val="24"/>
        </w:rPr>
        <w:t>concedes</w:t>
      </w:r>
      <w:r w:rsidR="0067159D" w:rsidRPr="00321B5E">
        <w:rPr>
          <w:rFonts w:cs="Arial"/>
          <w:szCs w:val="24"/>
        </w:rPr>
        <w:t xml:space="preserve">, even a substantial impairment of contractual rights may be permissible if the law has a significant and legitimate public purpose.  </w:t>
      </w:r>
      <w:r w:rsidR="00B5782F" w:rsidRPr="00321B5E">
        <w:rPr>
          <w:rFonts w:cs="Arial"/>
          <w:i/>
          <w:szCs w:val="24"/>
        </w:rPr>
        <w:t>Id</w:t>
      </w:r>
      <w:r w:rsidR="00B5782F" w:rsidRPr="00321B5E">
        <w:rPr>
          <w:rFonts w:cs="Arial"/>
          <w:szCs w:val="24"/>
        </w:rPr>
        <w:t xml:space="preserve">. at p. 7.  The Authority finds that returning hardship customers to standard service and precluding their contracting with a supplier serves a significant and legitimate public purpose.  </w:t>
      </w:r>
      <w:r w:rsidR="0067159D" w:rsidRPr="00321B5E">
        <w:rPr>
          <w:rFonts w:cs="Arial"/>
          <w:szCs w:val="24"/>
        </w:rPr>
        <w:t xml:space="preserve">Returning hardship customers to standard service not only saves Connecticut ratepayers the extra costs </w:t>
      </w:r>
      <w:r w:rsidRPr="00321B5E">
        <w:rPr>
          <w:rFonts w:cs="Arial"/>
          <w:szCs w:val="24"/>
        </w:rPr>
        <w:t>illustrated</w:t>
      </w:r>
      <w:r w:rsidR="0067159D" w:rsidRPr="00321B5E">
        <w:rPr>
          <w:rFonts w:cs="Arial"/>
          <w:szCs w:val="24"/>
        </w:rPr>
        <w:t xml:space="preserve"> in this docket and allows </w:t>
      </w:r>
      <w:r w:rsidR="00A504F8" w:rsidRPr="00321B5E">
        <w:rPr>
          <w:rFonts w:cs="Arial"/>
          <w:szCs w:val="24"/>
        </w:rPr>
        <w:t xml:space="preserve">for a greater amount of </w:t>
      </w:r>
      <w:r w:rsidR="0067159D" w:rsidRPr="00321B5E">
        <w:rPr>
          <w:rFonts w:cs="Arial"/>
          <w:szCs w:val="24"/>
        </w:rPr>
        <w:t>public funds to</w:t>
      </w:r>
      <w:r w:rsidR="00A504F8" w:rsidRPr="00321B5E">
        <w:rPr>
          <w:rFonts w:cs="Arial"/>
          <w:szCs w:val="24"/>
        </w:rPr>
        <w:t xml:space="preserve"> become available to</w:t>
      </w:r>
      <w:r w:rsidR="0067159D" w:rsidRPr="00321B5E">
        <w:rPr>
          <w:rFonts w:cs="Arial"/>
          <w:szCs w:val="24"/>
        </w:rPr>
        <w:t xml:space="preserve"> directly benefit the </w:t>
      </w:r>
      <w:r w:rsidR="00640710" w:rsidRPr="00321B5E">
        <w:rPr>
          <w:rFonts w:cs="Arial"/>
          <w:szCs w:val="24"/>
        </w:rPr>
        <w:t>hardship customers</w:t>
      </w:r>
      <w:r w:rsidR="0067159D" w:rsidRPr="00321B5E">
        <w:rPr>
          <w:rFonts w:cs="Arial"/>
          <w:szCs w:val="24"/>
        </w:rPr>
        <w:t xml:space="preserve"> for whom the funds are established, it also saves </w:t>
      </w:r>
      <w:r w:rsidR="00264DFA" w:rsidRPr="00321B5E">
        <w:rPr>
          <w:rFonts w:cs="Arial"/>
          <w:szCs w:val="24"/>
        </w:rPr>
        <w:t xml:space="preserve">the majority of </w:t>
      </w:r>
      <w:r w:rsidR="0067159D" w:rsidRPr="00321B5E">
        <w:rPr>
          <w:rFonts w:cs="Arial"/>
          <w:szCs w:val="24"/>
        </w:rPr>
        <w:t xml:space="preserve">hardship customers the extra money they are paying to third-party suppliers. </w:t>
      </w:r>
    </w:p>
    <w:p w:rsidR="0067159D" w:rsidRPr="00321B5E" w:rsidRDefault="0067159D" w:rsidP="0067159D">
      <w:pPr>
        <w:rPr>
          <w:rFonts w:cs="Arial"/>
          <w:szCs w:val="24"/>
        </w:rPr>
      </w:pPr>
    </w:p>
    <w:p w:rsidR="000C4350" w:rsidRPr="00321B5E" w:rsidRDefault="0067159D" w:rsidP="005F7F8A">
      <w:pPr>
        <w:ind w:firstLine="720"/>
        <w:rPr>
          <w:rFonts w:cs="Arial"/>
          <w:szCs w:val="24"/>
        </w:rPr>
      </w:pPr>
      <w:r w:rsidRPr="00321B5E">
        <w:rPr>
          <w:rFonts w:cs="Arial"/>
          <w:szCs w:val="24"/>
        </w:rPr>
        <w:t xml:space="preserve">The Authority </w:t>
      </w:r>
      <w:r w:rsidR="00C06A6F" w:rsidRPr="00321B5E">
        <w:rPr>
          <w:rFonts w:cs="Arial"/>
          <w:szCs w:val="24"/>
        </w:rPr>
        <w:t xml:space="preserve">further </w:t>
      </w:r>
      <w:r w:rsidRPr="00321B5E">
        <w:rPr>
          <w:rFonts w:cs="Arial"/>
          <w:szCs w:val="24"/>
        </w:rPr>
        <w:t xml:space="preserve">rejects RESA’s argument made in its pre-field testimony that there are other alternatives available under the statute.  </w:t>
      </w:r>
      <w:r w:rsidR="009D4ACB" w:rsidRPr="00321B5E">
        <w:rPr>
          <w:rFonts w:cs="Arial"/>
          <w:szCs w:val="24"/>
        </w:rPr>
        <w:t>T</w:t>
      </w:r>
      <w:r w:rsidRPr="00321B5E">
        <w:rPr>
          <w:rFonts w:cs="Arial"/>
          <w:szCs w:val="24"/>
        </w:rPr>
        <w:t xml:space="preserve">he Authority specifically requested that the parties brief the topic of whether the statute </w:t>
      </w:r>
      <w:r w:rsidR="00C06A6F" w:rsidRPr="00321B5E">
        <w:rPr>
          <w:rFonts w:cs="Arial"/>
          <w:szCs w:val="24"/>
        </w:rPr>
        <w:t>permits</w:t>
      </w:r>
      <w:r w:rsidRPr="00321B5E">
        <w:rPr>
          <w:rFonts w:cs="Arial"/>
          <w:szCs w:val="24"/>
        </w:rPr>
        <w:t xml:space="preserve"> </w:t>
      </w:r>
      <w:r w:rsidR="00CB3ACD" w:rsidRPr="00321B5E">
        <w:rPr>
          <w:rFonts w:cs="Arial"/>
          <w:szCs w:val="24"/>
        </w:rPr>
        <w:t>options</w:t>
      </w:r>
      <w:r w:rsidRPr="00321B5E">
        <w:rPr>
          <w:rFonts w:cs="Arial"/>
          <w:szCs w:val="24"/>
        </w:rPr>
        <w:t xml:space="preserve"> other than allowing hardship customers to remain with suppliers or requiring they return to standard service. </w:t>
      </w:r>
      <w:r w:rsidR="00CB3ACD" w:rsidRPr="00321B5E">
        <w:rPr>
          <w:rFonts w:cs="Arial"/>
          <w:szCs w:val="24"/>
        </w:rPr>
        <w:t xml:space="preserve"> </w:t>
      </w:r>
      <w:r w:rsidRPr="00321B5E">
        <w:rPr>
          <w:rFonts w:cs="Arial"/>
          <w:szCs w:val="24"/>
        </w:rPr>
        <w:t xml:space="preserve">In two paragraphs, RESA conceded the statute’s constraints and offered only that the Authority could try to inform hardship customers about supplier offers below standard service.  </w:t>
      </w:r>
      <w:r w:rsidR="00CB3ACD" w:rsidRPr="00321B5E">
        <w:rPr>
          <w:rFonts w:cs="Arial"/>
          <w:i/>
          <w:szCs w:val="24"/>
        </w:rPr>
        <w:t>Id</w:t>
      </w:r>
      <w:r w:rsidR="00CB3ACD" w:rsidRPr="00321B5E">
        <w:rPr>
          <w:rFonts w:cs="Arial"/>
          <w:szCs w:val="24"/>
        </w:rPr>
        <w:t xml:space="preserve">. at p. 23-24.  </w:t>
      </w:r>
      <w:r w:rsidRPr="00321B5E">
        <w:rPr>
          <w:rFonts w:cs="Arial"/>
          <w:szCs w:val="24"/>
        </w:rPr>
        <w:t xml:space="preserve">The Authority agrees with the OCC that “the alternatives that RESA proposes [in its pre-filed testimony] are plainly beyond the Authority’s mandate under General Statute § 16-245o(m), which presupposes the relief that the Authority may order and does not provide the Authority with broad discretion to select any possible remedy from the universe of potential alternatives.”  OCC Brief, p. 15.  As written, the </w:t>
      </w:r>
      <w:r w:rsidR="00A504F8" w:rsidRPr="00321B5E">
        <w:rPr>
          <w:rFonts w:cs="Arial"/>
          <w:szCs w:val="24"/>
        </w:rPr>
        <w:t xml:space="preserve">plain and unambiguous language of the </w:t>
      </w:r>
      <w:r w:rsidRPr="00321B5E">
        <w:rPr>
          <w:rFonts w:cs="Arial"/>
          <w:szCs w:val="24"/>
        </w:rPr>
        <w:t>statute</w:t>
      </w:r>
      <w:r w:rsidR="00A504F8" w:rsidRPr="00321B5E">
        <w:rPr>
          <w:rStyle w:val="FootnoteReference"/>
          <w:rFonts w:cs="Arial"/>
          <w:sz w:val="24"/>
          <w:szCs w:val="24"/>
        </w:rPr>
        <w:footnoteReference w:id="9"/>
      </w:r>
      <w:r w:rsidRPr="00321B5E">
        <w:rPr>
          <w:rFonts w:cs="Arial"/>
          <w:szCs w:val="24"/>
        </w:rPr>
        <w:t xml:space="preserve"> allows the Authority </w:t>
      </w:r>
      <w:r w:rsidRPr="00321B5E">
        <w:rPr>
          <w:rFonts w:cs="Arial"/>
          <w:szCs w:val="24"/>
        </w:rPr>
        <w:lastRenderedPageBreak/>
        <w:t xml:space="preserve">only two options:  allowing hardship customers to remain with suppliers or placing all hardship customers on standard service.  </w:t>
      </w:r>
      <w:r w:rsidR="00640710" w:rsidRPr="00321B5E">
        <w:rPr>
          <w:rFonts w:cs="Arial"/>
          <w:szCs w:val="24"/>
        </w:rPr>
        <w:t xml:space="preserve">The Authority finds that this plain language interpretation, providing two binary implementation options, accomplished precisely what the </w:t>
      </w:r>
      <w:r w:rsidR="0013522B" w:rsidRPr="00321B5E">
        <w:rPr>
          <w:rFonts w:cs="Arial"/>
          <w:szCs w:val="24"/>
        </w:rPr>
        <w:t>General Assembly</w:t>
      </w:r>
      <w:r w:rsidR="00640710" w:rsidRPr="00321B5E">
        <w:rPr>
          <w:rFonts w:cs="Arial"/>
          <w:szCs w:val="24"/>
        </w:rPr>
        <w:t xml:space="preserve"> intended and does not yield absurd or unworkable results.</w:t>
      </w:r>
    </w:p>
    <w:p w:rsidR="000C4350" w:rsidRPr="00321B5E" w:rsidRDefault="000C4350" w:rsidP="005F7F8A">
      <w:pPr>
        <w:ind w:firstLine="720"/>
        <w:rPr>
          <w:rFonts w:cs="Arial"/>
          <w:szCs w:val="24"/>
        </w:rPr>
      </w:pPr>
    </w:p>
    <w:p w:rsidR="001A4E0D" w:rsidRPr="00321B5E" w:rsidRDefault="0067159D" w:rsidP="002E2979">
      <w:pPr>
        <w:ind w:firstLine="720"/>
        <w:rPr>
          <w:rFonts w:cs="Arial"/>
          <w:szCs w:val="24"/>
        </w:rPr>
      </w:pPr>
      <w:r w:rsidRPr="00321B5E">
        <w:rPr>
          <w:rFonts w:cs="Arial"/>
          <w:szCs w:val="24"/>
        </w:rPr>
        <w:t>Based on the evidence acquired in this docket, the Authority finds the lat</w:t>
      </w:r>
      <w:r w:rsidR="00511976" w:rsidRPr="00321B5E">
        <w:rPr>
          <w:rFonts w:cs="Arial"/>
          <w:szCs w:val="24"/>
        </w:rPr>
        <w:t>t</w:t>
      </w:r>
      <w:r w:rsidRPr="00321B5E">
        <w:rPr>
          <w:rFonts w:cs="Arial"/>
          <w:szCs w:val="24"/>
        </w:rPr>
        <w:t>er option to be most benefici</w:t>
      </w:r>
      <w:r w:rsidR="002E2979" w:rsidRPr="00321B5E">
        <w:rPr>
          <w:rFonts w:cs="Arial"/>
          <w:szCs w:val="24"/>
        </w:rPr>
        <w:t xml:space="preserve">al to Connecticut ratepayers.  The Authority finds that returning all hardship </w:t>
      </w:r>
      <w:r w:rsidR="001056D2" w:rsidRPr="00321B5E">
        <w:rPr>
          <w:rFonts w:cs="Arial"/>
          <w:szCs w:val="24"/>
        </w:rPr>
        <w:t>customers</w:t>
      </w:r>
      <w:r w:rsidR="002E2979" w:rsidRPr="00321B5E">
        <w:rPr>
          <w:rFonts w:cs="Arial"/>
          <w:szCs w:val="24"/>
        </w:rPr>
        <w:t xml:space="preserve"> to standard service offers significant benefits to Connecticut, it is feasible to accomplish, and the </w:t>
      </w:r>
      <w:r w:rsidR="0013522B" w:rsidRPr="00321B5E">
        <w:rPr>
          <w:rFonts w:cs="Arial"/>
          <w:szCs w:val="24"/>
        </w:rPr>
        <w:t xml:space="preserve">one-time </w:t>
      </w:r>
      <w:r w:rsidR="002E2979" w:rsidRPr="00321B5E">
        <w:rPr>
          <w:rFonts w:cs="Arial"/>
          <w:szCs w:val="24"/>
        </w:rPr>
        <w:t xml:space="preserve">costs to accomplish </w:t>
      </w:r>
      <w:r w:rsidR="00CB3ACD" w:rsidRPr="00321B5E">
        <w:rPr>
          <w:rFonts w:cs="Arial"/>
          <w:szCs w:val="24"/>
        </w:rPr>
        <w:t xml:space="preserve">it </w:t>
      </w:r>
      <w:r w:rsidR="002E2979" w:rsidRPr="00321B5E">
        <w:rPr>
          <w:rFonts w:cs="Arial"/>
          <w:szCs w:val="24"/>
        </w:rPr>
        <w:t xml:space="preserve">are reasonable when compared with the long-term savings accomplished.  As a result, the Authority orders all hardship customers </w:t>
      </w:r>
      <w:proofErr w:type="gramStart"/>
      <w:r w:rsidR="00E30467" w:rsidRPr="00321B5E">
        <w:rPr>
          <w:rFonts w:cs="Arial"/>
          <w:szCs w:val="24"/>
        </w:rPr>
        <w:t>be</w:t>
      </w:r>
      <w:proofErr w:type="gramEnd"/>
      <w:r w:rsidR="00E30467" w:rsidRPr="00321B5E">
        <w:rPr>
          <w:rFonts w:cs="Arial"/>
          <w:szCs w:val="24"/>
        </w:rPr>
        <w:t xml:space="preserve"> </w:t>
      </w:r>
      <w:r w:rsidR="002E2979" w:rsidRPr="00321B5E">
        <w:rPr>
          <w:rFonts w:cs="Arial"/>
          <w:szCs w:val="24"/>
        </w:rPr>
        <w:t xml:space="preserve">returned to standard service </w:t>
      </w:r>
      <w:r w:rsidR="001056D2" w:rsidRPr="00321B5E">
        <w:rPr>
          <w:rFonts w:cs="Arial"/>
          <w:szCs w:val="24"/>
        </w:rPr>
        <w:t xml:space="preserve">without early termination fees being imposed </w:t>
      </w:r>
      <w:r w:rsidR="002E2979" w:rsidRPr="00321B5E">
        <w:rPr>
          <w:rFonts w:cs="Arial"/>
          <w:szCs w:val="24"/>
        </w:rPr>
        <w:t>and orders the EDCs to implement system programming to prevent hardship customers from enrolling with an electric supplier.  Pursuant to Conn. Gen. Stat. § 16-</w:t>
      </w:r>
      <w:proofErr w:type="gramStart"/>
      <w:r w:rsidR="002E2979" w:rsidRPr="00321B5E">
        <w:rPr>
          <w:rFonts w:cs="Arial"/>
          <w:szCs w:val="24"/>
        </w:rPr>
        <w:t>245o(</w:t>
      </w:r>
      <w:proofErr w:type="gramEnd"/>
      <w:r w:rsidR="002E2979" w:rsidRPr="00321B5E">
        <w:rPr>
          <w:rFonts w:cs="Arial"/>
          <w:szCs w:val="24"/>
        </w:rPr>
        <w:t>m), the Authority will initiate a docket to reevalu</w:t>
      </w:r>
      <w:r w:rsidR="00511976" w:rsidRPr="00321B5E">
        <w:rPr>
          <w:rFonts w:cs="Arial"/>
          <w:szCs w:val="24"/>
        </w:rPr>
        <w:t>a</w:t>
      </w:r>
      <w:r w:rsidR="002E2979" w:rsidRPr="00321B5E">
        <w:rPr>
          <w:rFonts w:cs="Arial"/>
          <w:szCs w:val="24"/>
        </w:rPr>
        <w:t xml:space="preserve">te this requirement two years from the date of the final decision in this docket or, if appealed, two years from the conclusion of the appeal.  </w:t>
      </w:r>
    </w:p>
    <w:p w:rsidR="000C4350" w:rsidRPr="00321B5E" w:rsidRDefault="000C4350" w:rsidP="005F7F8A">
      <w:pPr>
        <w:ind w:firstLine="720"/>
        <w:rPr>
          <w:rFonts w:cs="Arial"/>
          <w:szCs w:val="24"/>
          <w:highlight w:val="yellow"/>
        </w:rPr>
      </w:pPr>
    </w:p>
    <w:p w:rsidR="000C4350" w:rsidRPr="00321B5E" w:rsidRDefault="002E2979" w:rsidP="002E2979">
      <w:pPr>
        <w:ind w:firstLine="720"/>
        <w:rPr>
          <w:rFonts w:cs="Arial"/>
          <w:szCs w:val="24"/>
        </w:rPr>
      </w:pPr>
      <w:r w:rsidRPr="00321B5E">
        <w:rPr>
          <w:rFonts w:cs="Arial"/>
          <w:szCs w:val="24"/>
        </w:rPr>
        <w:t>The EDCs offered evidence that for a one-time cost of less than $5</w:t>
      </w:r>
      <w:r w:rsidR="00E06CFA" w:rsidRPr="00321B5E">
        <w:rPr>
          <w:rFonts w:cs="Arial"/>
          <w:szCs w:val="24"/>
        </w:rPr>
        <w:t>2</w:t>
      </w:r>
      <w:r w:rsidRPr="00321B5E">
        <w:rPr>
          <w:rFonts w:cs="Arial"/>
          <w:szCs w:val="24"/>
        </w:rPr>
        <w:t>0,000</w:t>
      </w:r>
      <w:r w:rsidR="00522317" w:rsidRPr="00321B5E">
        <w:rPr>
          <w:rFonts w:cs="Arial"/>
          <w:szCs w:val="24"/>
        </w:rPr>
        <w:t xml:space="preserve"> </w:t>
      </w:r>
      <w:r w:rsidR="00E30467" w:rsidRPr="00321B5E">
        <w:rPr>
          <w:rFonts w:cs="Arial"/>
          <w:szCs w:val="24"/>
        </w:rPr>
        <w:t xml:space="preserve">combined </w:t>
      </w:r>
      <w:r w:rsidRPr="00321B5E">
        <w:rPr>
          <w:rFonts w:cs="Arial"/>
          <w:szCs w:val="24"/>
        </w:rPr>
        <w:t>they can program their computer systems to return existing hardshi</w:t>
      </w:r>
      <w:r w:rsidR="00522317" w:rsidRPr="00321B5E">
        <w:rPr>
          <w:rFonts w:cs="Arial"/>
          <w:szCs w:val="24"/>
        </w:rPr>
        <w:t xml:space="preserve">p customers to standard service, </w:t>
      </w:r>
      <w:r w:rsidRPr="00321B5E">
        <w:rPr>
          <w:rFonts w:cs="Arial"/>
          <w:szCs w:val="24"/>
        </w:rPr>
        <w:t>prevent hardship customers from receiving supply from</w:t>
      </w:r>
      <w:r w:rsidR="00522317" w:rsidRPr="00321B5E">
        <w:rPr>
          <w:rFonts w:cs="Arial"/>
          <w:szCs w:val="24"/>
        </w:rPr>
        <w:t xml:space="preserve"> standard service in the future, and educate both social agencies and customer service representatives.</w:t>
      </w:r>
      <w:r w:rsidRPr="00321B5E">
        <w:rPr>
          <w:rFonts w:cs="Arial"/>
          <w:szCs w:val="24"/>
        </w:rPr>
        <w:t xml:space="preserve">  </w:t>
      </w:r>
      <w:r w:rsidR="00511976" w:rsidRPr="00321B5E">
        <w:rPr>
          <w:rFonts w:cs="Arial"/>
          <w:i/>
          <w:iCs/>
          <w:szCs w:val="24"/>
        </w:rPr>
        <w:t>See</w:t>
      </w:r>
      <w:r w:rsidR="00511976" w:rsidRPr="00321B5E">
        <w:rPr>
          <w:rFonts w:cs="Arial"/>
          <w:szCs w:val="24"/>
        </w:rPr>
        <w:t xml:space="preserve"> LFE-4 a, b, e, and f.  </w:t>
      </w:r>
      <w:r w:rsidRPr="00321B5E">
        <w:rPr>
          <w:rFonts w:cs="Arial"/>
          <w:szCs w:val="24"/>
        </w:rPr>
        <w:t>The Authority finds that the only necessary costs are those de</w:t>
      </w:r>
      <w:r w:rsidR="00522317" w:rsidRPr="00321B5E">
        <w:rPr>
          <w:rFonts w:cs="Arial"/>
          <w:szCs w:val="24"/>
        </w:rPr>
        <w:t xml:space="preserve">tailed in LFE-4 a, b, e, and f, and instructs the EDCs </w:t>
      </w:r>
      <w:r w:rsidR="00CB3ACD" w:rsidRPr="00321B5E">
        <w:rPr>
          <w:rFonts w:cs="Arial"/>
          <w:szCs w:val="24"/>
        </w:rPr>
        <w:t>to implement only those</w:t>
      </w:r>
      <w:r w:rsidR="00522317" w:rsidRPr="00321B5E">
        <w:rPr>
          <w:rFonts w:cs="Arial"/>
          <w:szCs w:val="24"/>
        </w:rPr>
        <w:t xml:space="preserve"> </w:t>
      </w:r>
      <w:r w:rsidR="00511976" w:rsidRPr="00321B5E">
        <w:rPr>
          <w:rFonts w:cs="Arial"/>
          <w:szCs w:val="24"/>
        </w:rPr>
        <w:t>modifications</w:t>
      </w:r>
      <w:r w:rsidR="00522317" w:rsidRPr="00321B5E">
        <w:rPr>
          <w:rFonts w:cs="Arial"/>
          <w:szCs w:val="24"/>
        </w:rPr>
        <w:t>.</w:t>
      </w:r>
      <w:r w:rsidRPr="00321B5E">
        <w:rPr>
          <w:rFonts w:cs="Arial"/>
          <w:szCs w:val="24"/>
        </w:rPr>
        <w:t xml:space="preserve"> After </w:t>
      </w:r>
      <w:r w:rsidR="00522317" w:rsidRPr="00321B5E">
        <w:rPr>
          <w:rFonts w:cs="Arial"/>
          <w:szCs w:val="24"/>
        </w:rPr>
        <w:t>concluding</w:t>
      </w:r>
      <w:r w:rsidRPr="00321B5E">
        <w:rPr>
          <w:rFonts w:cs="Arial"/>
          <w:szCs w:val="24"/>
        </w:rPr>
        <w:t xml:space="preserve"> such modifications, the EDCs shall submit </w:t>
      </w:r>
      <w:r w:rsidR="00530810" w:rsidRPr="00321B5E">
        <w:rPr>
          <w:rFonts w:cs="Arial"/>
          <w:szCs w:val="24"/>
        </w:rPr>
        <w:t xml:space="preserve">all prudently incurred </w:t>
      </w:r>
      <w:r w:rsidRPr="00321B5E">
        <w:rPr>
          <w:rFonts w:cs="Arial"/>
          <w:szCs w:val="24"/>
        </w:rPr>
        <w:t xml:space="preserve">costs to the Authority for recovery in the next rate case.  If the EDCs find the costs exceed estimates by greater than ten percent, they shall report such increases to the Authority immediately. </w:t>
      </w:r>
    </w:p>
    <w:p w:rsidR="001A4E0D" w:rsidRPr="00321B5E" w:rsidRDefault="001A4E0D" w:rsidP="001A4E0D">
      <w:pPr>
        <w:rPr>
          <w:rFonts w:cs="Arial"/>
          <w:szCs w:val="24"/>
        </w:rPr>
      </w:pPr>
    </w:p>
    <w:p w:rsidR="001A4E0D" w:rsidRPr="00321B5E" w:rsidRDefault="001A4E0D" w:rsidP="001A4E0D">
      <w:pPr>
        <w:pStyle w:val="Heading1"/>
        <w:numPr>
          <w:ilvl w:val="0"/>
          <w:numId w:val="29"/>
        </w:numPr>
        <w:tabs>
          <w:tab w:val="clear" w:pos="360"/>
        </w:tabs>
        <w:rPr>
          <w:rFonts w:cs="Arial"/>
          <w:szCs w:val="24"/>
        </w:rPr>
      </w:pPr>
      <w:bookmarkStart w:id="30" w:name="_Toc26174998"/>
      <w:r w:rsidRPr="00321B5E">
        <w:rPr>
          <w:rFonts w:cs="Arial"/>
          <w:szCs w:val="24"/>
        </w:rPr>
        <w:t>FINDINGS OF FACT</w:t>
      </w:r>
      <w:bookmarkEnd w:id="30"/>
    </w:p>
    <w:p w:rsidR="001A4E0D" w:rsidRPr="00321B5E" w:rsidRDefault="001A4E0D" w:rsidP="001A4E0D">
      <w:pPr>
        <w:spacing w:line="240" w:lineRule="atLeast"/>
        <w:rPr>
          <w:rFonts w:cs="Arial"/>
          <w:szCs w:val="24"/>
        </w:rPr>
      </w:pPr>
      <w:bookmarkStart w:id="31" w:name="_Toc233013586"/>
    </w:p>
    <w:bookmarkEnd w:id="31"/>
    <w:p w:rsidR="009F010E" w:rsidRPr="00321B5E" w:rsidRDefault="005F7F8A" w:rsidP="009F010E">
      <w:pPr>
        <w:pStyle w:val="ListParagraph"/>
        <w:numPr>
          <w:ilvl w:val="0"/>
          <w:numId w:val="28"/>
        </w:numPr>
        <w:tabs>
          <w:tab w:val="left" w:pos="720"/>
        </w:tabs>
        <w:ind w:left="0" w:firstLine="0"/>
        <w:contextualSpacing w:val="0"/>
        <w:rPr>
          <w:rFonts w:cs="Arial"/>
          <w:szCs w:val="24"/>
        </w:rPr>
      </w:pPr>
      <w:r w:rsidRPr="00321B5E">
        <w:rPr>
          <w:rFonts w:cs="Arial"/>
          <w:szCs w:val="24"/>
        </w:rPr>
        <w:t xml:space="preserve">From October 2016 through September 2018, hardship customers purchasing electricity from third-party suppliers paid $7.2 million more during that </w:t>
      </w:r>
      <w:r w:rsidR="00A1730D" w:rsidRPr="00321B5E">
        <w:rPr>
          <w:rFonts w:cs="Arial"/>
          <w:szCs w:val="24"/>
        </w:rPr>
        <w:t>time period</w:t>
      </w:r>
      <w:r w:rsidRPr="00321B5E">
        <w:rPr>
          <w:rFonts w:cs="Arial"/>
          <w:szCs w:val="24"/>
        </w:rPr>
        <w:t xml:space="preserve"> than they would have if they had purchased electricity through standard service.</w:t>
      </w:r>
    </w:p>
    <w:p w:rsidR="009F010E" w:rsidRPr="00321B5E" w:rsidRDefault="009F010E" w:rsidP="00E06CFA">
      <w:pPr>
        <w:pStyle w:val="ListParagraph"/>
        <w:tabs>
          <w:tab w:val="left" w:pos="720"/>
        </w:tabs>
        <w:ind w:left="0"/>
        <w:contextualSpacing w:val="0"/>
        <w:rPr>
          <w:rFonts w:cs="Arial"/>
          <w:szCs w:val="24"/>
        </w:rPr>
      </w:pPr>
    </w:p>
    <w:p w:rsidR="00E30467" w:rsidRPr="00321B5E" w:rsidRDefault="00E30467" w:rsidP="00E06CFA">
      <w:pPr>
        <w:pStyle w:val="ListParagraph"/>
        <w:numPr>
          <w:ilvl w:val="0"/>
          <w:numId w:val="28"/>
        </w:numPr>
        <w:tabs>
          <w:tab w:val="left" w:pos="720"/>
          <w:tab w:val="left" w:pos="810"/>
        </w:tabs>
        <w:ind w:left="0" w:firstLine="0"/>
        <w:contextualSpacing w:val="0"/>
        <w:rPr>
          <w:rFonts w:cs="Arial"/>
          <w:szCs w:val="24"/>
        </w:rPr>
      </w:pPr>
      <w:r w:rsidRPr="00321B5E">
        <w:rPr>
          <w:rFonts w:cs="Arial"/>
          <w:szCs w:val="24"/>
        </w:rPr>
        <w:t xml:space="preserve">From October 2016 through September 2018, hardship customers purchasing electricity from third-party suppliers </w:t>
      </w:r>
      <w:r w:rsidR="00640710" w:rsidRPr="00321B5E">
        <w:rPr>
          <w:rFonts w:cs="Arial"/>
          <w:szCs w:val="24"/>
        </w:rPr>
        <w:t xml:space="preserve">paid an </w:t>
      </w:r>
      <w:r w:rsidRPr="00321B5E">
        <w:rPr>
          <w:rFonts w:cs="Arial"/>
          <w:szCs w:val="24"/>
        </w:rPr>
        <w:t xml:space="preserve">average </w:t>
      </w:r>
      <w:r w:rsidR="00640710" w:rsidRPr="00321B5E">
        <w:rPr>
          <w:rFonts w:cs="Arial"/>
          <w:szCs w:val="24"/>
        </w:rPr>
        <w:t>premium</w:t>
      </w:r>
      <w:r w:rsidRPr="00321B5E">
        <w:rPr>
          <w:rFonts w:cs="Arial"/>
          <w:szCs w:val="24"/>
        </w:rPr>
        <w:t xml:space="preserve"> of $143</w:t>
      </w:r>
      <w:r w:rsidR="00640710" w:rsidRPr="00321B5E">
        <w:rPr>
          <w:rFonts w:cs="Arial"/>
          <w:szCs w:val="24"/>
        </w:rPr>
        <w:t xml:space="preserve"> </w:t>
      </w:r>
      <w:r w:rsidRPr="00321B5E">
        <w:rPr>
          <w:rFonts w:cs="Arial"/>
          <w:szCs w:val="24"/>
        </w:rPr>
        <w:t>per customer for the two years</w:t>
      </w:r>
      <w:r w:rsidR="00640710" w:rsidRPr="00321B5E">
        <w:rPr>
          <w:rFonts w:cs="Arial"/>
          <w:szCs w:val="24"/>
        </w:rPr>
        <w:t xml:space="preserve"> above the cost of standard service rates</w:t>
      </w:r>
      <w:r w:rsidRPr="00321B5E">
        <w:rPr>
          <w:rFonts w:cs="Arial"/>
          <w:szCs w:val="24"/>
        </w:rPr>
        <w:t xml:space="preserve">.  </w:t>
      </w:r>
    </w:p>
    <w:p w:rsidR="001A4E0D" w:rsidRPr="00321B5E" w:rsidRDefault="001A4E0D" w:rsidP="001A4E0D">
      <w:pPr>
        <w:pStyle w:val="ListParagraph"/>
        <w:tabs>
          <w:tab w:val="left" w:pos="720"/>
        </w:tabs>
        <w:rPr>
          <w:rFonts w:cs="Arial"/>
          <w:szCs w:val="24"/>
        </w:rPr>
      </w:pPr>
    </w:p>
    <w:p w:rsidR="000774C6" w:rsidRPr="00321B5E" w:rsidRDefault="005F7F8A" w:rsidP="000774C6">
      <w:pPr>
        <w:pStyle w:val="ListParagraph"/>
        <w:numPr>
          <w:ilvl w:val="0"/>
          <w:numId w:val="28"/>
        </w:numPr>
        <w:tabs>
          <w:tab w:val="left" w:pos="720"/>
        </w:tabs>
        <w:ind w:left="0" w:firstLine="0"/>
        <w:contextualSpacing w:val="0"/>
        <w:rPr>
          <w:rFonts w:cs="Arial"/>
          <w:szCs w:val="24"/>
        </w:rPr>
      </w:pPr>
      <w:r w:rsidRPr="00321B5E">
        <w:rPr>
          <w:rFonts w:cs="Arial"/>
          <w:szCs w:val="24"/>
        </w:rPr>
        <w:t>Seventy-eight percent (78%) of hardship customers receiving service from an electric supplier paid more from October 2016 through September 2018 than they would have paid on standard service.</w:t>
      </w:r>
    </w:p>
    <w:p w:rsidR="000774C6" w:rsidRPr="00321B5E" w:rsidRDefault="000774C6" w:rsidP="000774C6">
      <w:pPr>
        <w:pStyle w:val="ListParagraph"/>
        <w:rPr>
          <w:rFonts w:cs="Arial"/>
          <w:szCs w:val="24"/>
        </w:rPr>
      </w:pPr>
    </w:p>
    <w:p w:rsidR="000774C6" w:rsidRPr="00321B5E" w:rsidRDefault="000774C6" w:rsidP="000774C6">
      <w:pPr>
        <w:pStyle w:val="ListParagraph"/>
        <w:numPr>
          <w:ilvl w:val="0"/>
          <w:numId w:val="28"/>
        </w:numPr>
        <w:tabs>
          <w:tab w:val="left" w:pos="720"/>
        </w:tabs>
        <w:ind w:left="0" w:firstLine="0"/>
        <w:contextualSpacing w:val="0"/>
        <w:rPr>
          <w:rFonts w:cs="Arial"/>
          <w:szCs w:val="24"/>
        </w:rPr>
      </w:pPr>
      <w:r w:rsidRPr="00321B5E">
        <w:rPr>
          <w:rFonts w:cs="Arial"/>
          <w:szCs w:val="24"/>
        </w:rPr>
        <w:t>From October 2016 through September 2018, hardship customers contracting with a supplier paid sixty-nine percent (69%) more than non-hardship customers contracting with a supplier.</w:t>
      </w:r>
    </w:p>
    <w:p w:rsidR="005F7F8A" w:rsidRPr="00321B5E" w:rsidRDefault="005F7F8A" w:rsidP="005F7F8A">
      <w:pPr>
        <w:pStyle w:val="ListParagraph"/>
        <w:rPr>
          <w:rFonts w:cs="Arial"/>
          <w:szCs w:val="24"/>
        </w:rPr>
      </w:pPr>
    </w:p>
    <w:p w:rsidR="005F7F8A" w:rsidRPr="00321B5E" w:rsidRDefault="005F7F8A" w:rsidP="001A4E0D">
      <w:pPr>
        <w:pStyle w:val="ListParagraph"/>
        <w:numPr>
          <w:ilvl w:val="0"/>
          <w:numId w:val="28"/>
        </w:numPr>
        <w:tabs>
          <w:tab w:val="left" w:pos="720"/>
        </w:tabs>
        <w:ind w:left="0" w:firstLine="0"/>
        <w:contextualSpacing w:val="0"/>
        <w:rPr>
          <w:rFonts w:cs="Arial"/>
          <w:szCs w:val="24"/>
        </w:rPr>
      </w:pPr>
      <w:r w:rsidRPr="00321B5E">
        <w:rPr>
          <w:rFonts w:cs="Arial"/>
          <w:szCs w:val="24"/>
        </w:rPr>
        <w:t xml:space="preserve">Eversource offered evidence that for </w:t>
      </w:r>
      <w:r w:rsidR="00EB6C84" w:rsidRPr="00321B5E">
        <w:rPr>
          <w:rFonts w:cs="Arial"/>
          <w:szCs w:val="24"/>
        </w:rPr>
        <w:t>less than</w:t>
      </w:r>
      <w:r w:rsidRPr="00321B5E">
        <w:rPr>
          <w:rFonts w:cs="Arial"/>
          <w:szCs w:val="24"/>
        </w:rPr>
        <w:t xml:space="preserve"> $</w:t>
      </w:r>
      <w:proofErr w:type="gramStart"/>
      <w:r w:rsidRPr="00321B5E">
        <w:rPr>
          <w:rFonts w:cs="Arial"/>
          <w:szCs w:val="24"/>
        </w:rPr>
        <w:t>400,000,</w:t>
      </w:r>
      <w:proofErr w:type="gramEnd"/>
      <w:r w:rsidRPr="00321B5E">
        <w:rPr>
          <w:rFonts w:cs="Arial"/>
          <w:szCs w:val="24"/>
        </w:rPr>
        <w:t xml:space="preserve"> it can both return existing hardship customers to standard service and program its system to prevent hardship customers from contracting with a supplier.  </w:t>
      </w:r>
    </w:p>
    <w:p w:rsidR="005F7F8A" w:rsidRPr="00321B5E" w:rsidRDefault="005F7F8A" w:rsidP="005F7F8A">
      <w:pPr>
        <w:pStyle w:val="ListParagraph"/>
        <w:rPr>
          <w:rFonts w:cs="Arial"/>
          <w:szCs w:val="24"/>
        </w:rPr>
      </w:pPr>
    </w:p>
    <w:p w:rsidR="005F7F8A" w:rsidRPr="00321B5E" w:rsidRDefault="005F7F8A" w:rsidP="001A4E0D">
      <w:pPr>
        <w:pStyle w:val="ListParagraph"/>
        <w:numPr>
          <w:ilvl w:val="0"/>
          <w:numId w:val="28"/>
        </w:numPr>
        <w:tabs>
          <w:tab w:val="left" w:pos="720"/>
        </w:tabs>
        <w:ind w:left="0" w:firstLine="0"/>
        <w:contextualSpacing w:val="0"/>
        <w:rPr>
          <w:rFonts w:cs="Arial"/>
          <w:szCs w:val="24"/>
        </w:rPr>
      </w:pPr>
      <w:r w:rsidRPr="00321B5E">
        <w:rPr>
          <w:rFonts w:cs="Arial"/>
          <w:szCs w:val="24"/>
        </w:rPr>
        <w:t xml:space="preserve">UI offered evidence that for approximately $120,000 it can both return existing hardship customers to standard service and program its system to prevent hardship customers from contracting with a supplier.  </w:t>
      </w:r>
    </w:p>
    <w:p w:rsidR="001A4E0D" w:rsidRPr="00321B5E" w:rsidRDefault="001A4E0D" w:rsidP="001A4E0D">
      <w:pPr>
        <w:rPr>
          <w:rFonts w:cs="Arial"/>
          <w:szCs w:val="24"/>
        </w:rPr>
      </w:pPr>
    </w:p>
    <w:p w:rsidR="001A4E0D" w:rsidRPr="00321B5E" w:rsidRDefault="001A4E0D" w:rsidP="001A4E0D">
      <w:pPr>
        <w:rPr>
          <w:rFonts w:cs="Arial"/>
          <w:szCs w:val="24"/>
        </w:rPr>
      </w:pPr>
    </w:p>
    <w:p w:rsidR="00101B97" w:rsidRPr="00321B5E" w:rsidRDefault="00101B97" w:rsidP="001A4E0D">
      <w:pPr>
        <w:rPr>
          <w:rFonts w:cs="Arial"/>
          <w:szCs w:val="24"/>
        </w:rPr>
      </w:pPr>
    </w:p>
    <w:p w:rsidR="001A4E0D" w:rsidRPr="00321B5E" w:rsidRDefault="001A4E0D" w:rsidP="001A4E0D">
      <w:pPr>
        <w:pStyle w:val="Heading1"/>
        <w:numPr>
          <w:ilvl w:val="0"/>
          <w:numId w:val="29"/>
        </w:numPr>
        <w:tabs>
          <w:tab w:val="clear" w:pos="360"/>
        </w:tabs>
        <w:rPr>
          <w:rFonts w:cs="Arial"/>
          <w:szCs w:val="24"/>
        </w:rPr>
      </w:pPr>
      <w:bookmarkStart w:id="32" w:name="_Toc26174999"/>
      <w:r w:rsidRPr="00321B5E">
        <w:rPr>
          <w:rFonts w:cs="Arial"/>
          <w:szCs w:val="24"/>
        </w:rPr>
        <w:t>CONCLUSION AND ORDERS</w:t>
      </w:r>
      <w:bookmarkEnd w:id="32"/>
    </w:p>
    <w:p w:rsidR="001A4E0D" w:rsidRPr="00321B5E" w:rsidRDefault="001A4E0D" w:rsidP="001A4E0D">
      <w:pPr>
        <w:rPr>
          <w:rFonts w:cs="Arial"/>
          <w:szCs w:val="24"/>
        </w:rPr>
      </w:pPr>
    </w:p>
    <w:p w:rsidR="001A4E0D" w:rsidRPr="00321B5E" w:rsidRDefault="001A4E0D" w:rsidP="001A4E0D">
      <w:pPr>
        <w:pStyle w:val="Heading2"/>
        <w:numPr>
          <w:ilvl w:val="1"/>
          <w:numId w:val="29"/>
        </w:numPr>
        <w:rPr>
          <w:rFonts w:cs="Arial"/>
          <w:szCs w:val="24"/>
        </w:rPr>
      </w:pPr>
      <w:bookmarkStart w:id="33" w:name="_Toc26175000"/>
      <w:r w:rsidRPr="00321B5E">
        <w:rPr>
          <w:rFonts w:cs="Arial"/>
          <w:szCs w:val="24"/>
        </w:rPr>
        <w:t>Conclusion</w:t>
      </w:r>
      <w:bookmarkEnd w:id="33"/>
    </w:p>
    <w:p w:rsidR="001A4E0D" w:rsidRPr="00321B5E" w:rsidRDefault="001A4E0D" w:rsidP="001A4E0D">
      <w:pPr>
        <w:rPr>
          <w:rFonts w:cs="Arial"/>
          <w:szCs w:val="24"/>
        </w:rPr>
      </w:pPr>
    </w:p>
    <w:p w:rsidR="001A4E0D" w:rsidRPr="00321B5E" w:rsidRDefault="000C4350" w:rsidP="000C4350">
      <w:pPr>
        <w:ind w:firstLine="720"/>
        <w:rPr>
          <w:rFonts w:cs="Arial"/>
          <w:szCs w:val="24"/>
        </w:rPr>
      </w:pPr>
      <w:r w:rsidRPr="00321B5E">
        <w:rPr>
          <w:rFonts w:cs="Arial"/>
          <w:szCs w:val="24"/>
        </w:rPr>
        <w:t xml:space="preserve">The Authority finds that hardship customers could have realized significant savings during the </w:t>
      </w:r>
      <w:r w:rsidR="00321B5E" w:rsidRPr="00321B5E">
        <w:rPr>
          <w:rFonts w:cs="Arial"/>
          <w:szCs w:val="24"/>
        </w:rPr>
        <w:t>time period</w:t>
      </w:r>
      <w:r w:rsidRPr="00321B5E">
        <w:rPr>
          <w:rFonts w:cs="Arial"/>
          <w:szCs w:val="24"/>
        </w:rPr>
        <w:t xml:space="preserve"> studied in this docket had they received electric supply </w:t>
      </w:r>
      <w:r w:rsidR="0013522B" w:rsidRPr="00321B5E">
        <w:rPr>
          <w:rFonts w:cs="Arial"/>
          <w:szCs w:val="24"/>
        </w:rPr>
        <w:t>through standard service</w:t>
      </w:r>
      <w:r w:rsidRPr="00321B5E">
        <w:rPr>
          <w:rFonts w:cs="Arial"/>
          <w:szCs w:val="24"/>
        </w:rPr>
        <w:t xml:space="preserve"> rather than from an electric supplier.  Hardship customers’ overpayments </w:t>
      </w:r>
      <w:r w:rsidR="00640710" w:rsidRPr="00321B5E">
        <w:rPr>
          <w:rFonts w:cs="Arial"/>
          <w:szCs w:val="24"/>
        </w:rPr>
        <w:t xml:space="preserve">substantially reduced the amount of </w:t>
      </w:r>
      <w:r w:rsidRPr="00321B5E">
        <w:rPr>
          <w:rFonts w:cs="Arial"/>
          <w:szCs w:val="24"/>
        </w:rPr>
        <w:t xml:space="preserve">available </w:t>
      </w:r>
      <w:r w:rsidR="00640710" w:rsidRPr="00321B5E">
        <w:rPr>
          <w:rFonts w:cs="Arial"/>
          <w:szCs w:val="24"/>
        </w:rPr>
        <w:t xml:space="preserve">energy bill assistance funds </w:t>
      </w:r>
      <w:r w:rsidRPr="00321B5E">
        <w:rPr>
          <w:rFonts w:cs="Arial"/>
          <w:szCs w:val="24"/>
        </w:rPr>
        <w:t>to the hardship customers and to the social programs that assist their electricity payments.  The EDCs offered evidence that for a one-time cost of less than $5</w:t>
      </w:r>
      <w:r w:rsidR="00E06CFA" w:rsidRPr="00321B5E">
        <w:rPr>
          <w:rFonts w:cs="Arial"/>
          <w:szCs w:val="24"/>
        </w:rPr>
        <w:t>2</w:t>
      </w:r>
      <w:r w:rsidRPr="00321B5E">
        <w:rPr>
          <w:rFonts w:cs="Arial"/>
          <w:szCs w:val="24"/>
        </w:rPr>
        <w:t xml:space="preserve">0,000, they can program their computer systems to return existing hardship customers to standard service and prevent hardship customers from receiving supply from </w:t>
      </w:r>
      <w:r w:rsidR="009F010E" w:rsidRPr="00321B5E">
        <w:rPr>
          <w:rFonts w:cs="Arial"/>
          <w:szCs w:val="24"/>
        </w:rPr>
        <w:t>third-party suppliers</w:t>
      </w:r>
      <w:r w:rsidRPr="00321B5E">
        <w:rPr>
          <w:rFonts w:cs="Arial"/>
          <w:szCs w:val="24"/>
        </w:rPr>
        <w:t xml:space="preserve"> in the future.  The Authority finds that returning all hardship </w:t>
      </w:r>
      <w:r w:rsidR="000774C6" w:rsidRPr="00321B5E">
        <w:rPr>
          <w:rFonts w:cs="Arial"/>
          <w:szCs w:val="24"/>
        </w:rPr>
        <w:t>customers</w:t>
      </w:r>
      <w:r w:rsidRPr="00321B5E">
        <w:rPr>
          <w:rFonts w:cs="Arial"/>
          <w:szCs w:val="24"/>
        </w:rPr>
        <w:t xml:space="preserve"> to standard service offers significant </w:t>
      </w:r>
      <w:r w:rsidR="00640710" w:rsidRPr="00321B5E">
        <w:rPr>
          <w:rFonts w:cs="Arial"/>
          <w:szCs w:val="24"/>
        </w:rPr>
        <w:t xml:space="preserve">costs savings </w:t>
      </w:r>
      <w:r w:rsidRPr="00321B5E">
        <w:rPr>
          <w:rFonts w:cs="Arial"/>
          <w:szCs w:val="24"/>
        </w:rPr>
        <w:t xml:space="preserve">benefits to Connecticut, it is feasible to accomplish, and the costs to accomplish are not unreasonable when compared with the long-term savings accomplished.  As a result, the Authority orders all hardship customers returned to standard service and orders the EDCs to implement system programming to prevent hardship customers from enrolling with an electric supplier. </w:t>
      </w:r>
    </w:p>
    <w:p w:rsidR="001A4E0D" w:rsidRPr="00321B5E" w:rsidRDefault="001A4E0D" w:rsidP="001A4E0D">
      <w:pPr>
        <w:rPr>
          <w:rFonts w:cs="Arial"/>
          <w:szCs w:val="24"/>
        </w:rPr>
      </w:pPr>
    </w:p>
    <w:p w:rsidR="001A4E0D" w:rsidRPr="00321B5E" w:rsidRDefault="001A4E0D" w:rsidP="001A4E0D">
      <w:pPr>
        <w:pStyle w:val="Heading2"/>
        <w:numPr>
          <w:ilvl w:val="1"/>
          <w:numId w:val="29"/>
        </w:numPr>
        <w:rPr>
          <w:rFonts w:cs="Arial"/>
          <w:szCs w:val="24"/>
        </w:rPr>
      </w:pPr>
      <w:bookmarkStart w:id="34" w:name="_Toc26175001"/>
      <w:r w:rsidRPr="00321B5E">
        <w:rPr>
          <w:rFonts w:cs="Arial"/>
          <w:szCs w:val="24"/>
        </w:rPr>
        <w:t>Orders</w:t>
      </w:r>
      <w:bookmarkEnd w:id="34"/>
    </w:p>
    <w:p w:rsidR="001A4E0D" w:rsidRPr="00321B5E" w:rsidRDefault="001A4E0D" w:rsidP="001A4E0D">
      <w:pPr>
        <w:rPr>
          <w:rFonts w:cs="Arial"/>
          <w:szCs w:val="24"/>
        </w:rPr>
      </w:pPr>
    </w:p>
    <w:p w:rsidR="001A4E0D" w:rsidRPr="00321B5E" w:rsidRDefault="001A4E0D" w:rsidP="001A4E0D">
      <w:pPr>
        <w:rPr>
          <w:rFonts w:cs="Arial"/>
          <w:szCs w:val="24"/>
        </w:rPr>
      </w:pPr>
      <w:r w:rsidRPr="00321B5E">
        <w:rPr>
          <w:rFonts w:cs="Arial"/>
          <w:szCs w:val="24"/>
        </w:rPr>
        <w:tab/>
        <w:t xml:space="preserve">For the following Orders, the Company shall submit one original of the required documentation to the Executive Secretary, 10 Franklin Square, New Britain, Connecticut 06051 </w:t>
      </w:r>
      <w:r w:rsidRPr="00321B5E">
        <w:rPr>
          <w:rFonts w:cs="Arial"/>
          <w:szCs w:val="24"/>
          <w:u w:val="single"/>
        </w:rPr>
        <w:t>and</w:t>
      </w:r>
      <w:r w:rsidRPr="00321B5E">
        <w:rPr>
          <w:rFonts w:cs="Arial"/>
          <w:szCs w:val="24"/>
        </w:rPr>
        <w:t xml:space="preserve"> file an electronic version through the Authority’s website at </w:t>
      </w:r>
      <w:r w:rsidRPr="00321B5E">
        <w:rPr>
          <w:rFonts w:cs="Arial"/>
          <w:szCs w:val="24"/>
          <w:u w:val="single"/>
        </w:rPr>
        <w:t>www.ct.gov/pura</w:t>
      </w:r>
      <w:r w:rsidRPr="00321B5E">
        <w:rPr>
          <w:rFonts w:cs="Arial"/>
          <w:szCs w:val="24"/>
        </w:rPr>
        <w:t xml:space="preserve">.  Submissions filed in compliance with the </w:t>
      </w:r>
      <w:r w:rsidR="00800770" w:rsidRPr="00321B5E">
        <w:rPr>
          <w:rFonts w:cs="Arial"/>
          <w:szCs w:val="24"/>
        </w:rPr>
        <w:t>Authority’s</w:t>
      </w:r>
      <w:r w:rsidRPr="00321B5E">
        <w:rPr>
          <w:rFonts w:cs="Arial"/>
          <w:szCs w:val="24"/>
        </w:rPr>
        <w:t xml:space="preserve"> Orders must be identified by all three of the following: Docket Number, Title and Order Number.  Compliance with orders shall commence and continue as indicated in each specific Order or until the Company requests and the Authority approves that the Company’s compliance is no longer required after a certain date.</w:t>
      </w:r>
    </w:p>
    <w:p w:rsidR="001A4E0D" w:rsidRPr="00321B5E" w:rsidRDefault="001A4E0D" w:rsidP="001A4E0D">
      <w:pPr>
        <w:rPr>
          <w:rFonts w:cs="Arial"/>
          <w:szCs w:val="24"/>
        </w:rPr>
      </w:pPr>
    </w:p>
    <w:p w:rsidR="001A4E0D" w:rsidRPr="00321B5E" w:rsidRDefault="001A4E0D" w:rsidP="001A4E0D">
      <w:pPr>
        <w:pStyle w:val="ListParagraph"/>
        <w:numPr>
          <w:ilvl w:val="0"/>
          <w:numId w:val="31"/>
        </w:numPr>
        <w:spacing w:line="240" w:lineRule="atLeast"/>
        <w:ind w:hanging="720"/>
        <w:rPr>
          <w:rFonts w:cs="Arial"/>
          <w:szCs w:val="24"/>
        </w:rPr>
      </w:pPr>
      <w:r w:rsidRPr="00321B5E">
        <w:rPr>
          <w:rFonts w:cs="Arial"/>
          <w:szCs w:val="24"/>
        </w:rPr>
        <w:t xml:space="preserve">No later than </w:t>
      </w:r>
      <w:r w:rsidR="00511976" w:rsidRPr="00321B5E">
        <w:rPr>
          <w:rFonts w:cs="Arial"/>
          <w:szCs w:val="24"/>
        </w:rPr>
        <w:t>March 1, 2020</w:t>
      </w:r>
      <w:r w:rsidRPr="00321B5E">
        <w:rPr>
          <w:rFonts w:cs="Arial"/>
          <w:szCs w:val="24"/>
        </w:rPr>
        <w:t xml:space="preserve">, </w:t>
      </w:r>
      <w:r w:rsidR="00511976" w:rsidRPr="00321B5E">
        <w:rPr>
          <w:rFonts w:cs="Arial"/>
          <w:szCs w:val="24"/>
        </w:rPr>
        <w:t xml:space="preserve">The Connecticut Light &amp; Power Company d/b/a Eversource Energy and The United Illuminating Company shall modify their systems as indicated in LFE-4 a, b, e, and f to return all hardship customers to standard service, prevent future hardship customers from contracting with electric suppliers, and educating social service agency staff and customers service representatives of the change. </w:t>
      </w:r>
    </w:p>
    <w:p w:rsidR="000774C6" w:rsidRPr="00321B5E" w:rsidRDefault="000774C6" w:rsidP="000774C6">
      <w:pPr>
        <w:pStyle w:val="ListParagraph"/>
        <w:spacing w:line="240" w:lineRule="atLeast"/>
        <w:rPr>
          <w:rFonts w:cs="Arial"/>
          <w:szCs w:val="24"/>
        </w:rPr>
      </w:pPr>
    </w:p>
    <w:p w:rsidR="000774C6" w:rsidRPr="00321B5E" w:rsidRDefault="000774C6" w:rsidP="001A4E0D">
      <w:pPr>
        <w:pStyle w:val="ListParagraph"/>
        <w:numPr>
          <w:ilvl w:val="0"/>
          <w:numId w:val="31"/>
        </w:numPr>
        <w:spacing w:line="240" w:lineRule="atLeast"/>
        <w:ind w:hanging="720"/>
        <w:rPr>
          <w:rFonts w:cs="Arial"/>
          <w:szCs w:val="24"/>
        </w:rPr>
      </w:pPr>
      <w:r w:rsidRPr="00321B5E">
        <w:rPr>
          <w:rFonts w:cs="Arial"/>
          <w:szCs w:val="24"/>
        </w:rPr>
        <w:lastRenderedPageBreak/>
        <w:t xml:space="preserve">No later than March 1, 2020, The Connecticut Light &amp; Power Company d/b/a Eversource Energy and The United Illuminating Company shall return all hardship customers to standard service and shall prevent future hardship customers from enrolling with a third-party electric supplier. </w:t>
      </w:r>
    </w:p>
    <w:p w:rsidR="00640710" w:rsidRPr="00321B5E" w:rsidRDefault="00640710" w:rsidP="00E06CFA">
      <w:pPr>
        <w:pStyle w:val="ListParagraph"/>
        <w:rPr>
          <w:rFonts w:cs="Arial"/>
          <w:szCs w:val="24"/>
        </w:rPr>
      </w:pPr>
    </w:p>
    <w:p w:rsidR="00640710" w:rsidRPr="00321B5E" w:rsidRDefault="00640710" w:rsidP="00081BA5">
      <w:pPr>
        <w:pStyle w:val="ListParagraph"/>
        <w:numPr>
          <w:ilvl w:val="0"/>
          <w:numId w:val="31"/>
        </w:numPr>
        <w:spacing w:line="240" w:lineRule="atLeast"/>
        <w:ind w:hanging="720"/>
        <w:rPr>
          <w:rFonts w:cs="Arial"/>
          <w:szCs w:val="24"/>
        </w:rPr>
      </w:pPr>
      <w:r w:rsidRPr="00321B5E">
        <w:rPr>
          <w:rFonts w:cs="Arial"/>
          <w:szCs w:val="24"/>
        </w:rPr>
        <w:t xml:space="preserve">No licensed electric supplier shall charge hardship customers transferred to </w:t>
      </w:r>
      <w:r w:rsidR="005812E6" w:rsidRPr="00321B5E">
        <w:rPr>
          <w:rFonts w:cs="Arial"/>
          <w:szCs w:val="24"/>
        </w:rPr>
        <w:t xml:space="preserve">standard service </w:t>
      </w:r>
      <w:r w:rsidR="0013522B" w:rsidRPr="00321B5E">
        <w:rPr>
          <w:rFonts w:cs="Arial"/>
          <w:szCs w:val="24"/>
        </w:rPr>
        <w:t xml:space="preserve">an </w:t>
      </w:r>
      <w:r w:rsidRPr="00321B5E">
        <w:rPr>
          <w:rFonts w:cs="Arial"/>
          <w:szCs w:val="24"/>
        </w:rPr>
        <w:t>early termination fee</w:t>
      </w:r>
      <w:r w:rsidR="005812E6" w:rsidRPr="00321B5E">
        <w:rPr>
          <w:rFonts w:cs="Arial"/>
          <w:szCs w:val="24"/>
        </w:rPr>
        <w:t xml:space="preserve"> or any other type of charge other than a charge for electricity provided by the supplier up until the date the customer was transferred. </w:t>
      </w:r>
    </w:p>
    <w:p w:rsidR="001A4E0D" w:rsidRPr="00321B5E" w:rsidRDefault="001A4E0D" w:rsidP="00511976">
      <w:pPr>
        <w:pStyle w:val="ListParagraph"/>
        <w:rPr>
          <w:rFonts w:cs="Arial"/>
          <w:szCs w:val="24"/>
        </w:rPr>
      </w:pPr>
    </w:p>
    <w:p w:rsidR="003D6CC5" w:rsidRDefault="003D6CC5" w:rsidP="001A4E0D">
      <w:pPr>
        <w:spacing w:line="240" w:lineRule="atLeast"/>
        <w:sectPr w:rsidR="003D6CC5" w:rsidSect="004B10F5">
          <w:headerReference w:type="default" r:id="rId16"/>
          <w:pgSz w:w="12240" w:h="15840" w:code="1"/>
          <w:pgMar w:top="1152" w:right="1440" w:bottom="1152" w:left="1440" w:header="432" w:footer="288" w:gutter="0"/>
          <w:paperSrc w:first="3" w:other="3"/>
          <w:pgNumType w:start="1"/>
          <w:cols w:space="720"/>
          <w:titlePg/>
          <w:docGrid w:linePitch="326"/>
        </w:sectPr>
      </w:pPr>
    </w:p>
    <w:p w:rsidR="006A359E" w:rsidRDefault="006A359E" w:rsidP="006A359E">
      <w:pPr>
        <w:tabs>
          <w:tab w:val="left" w:pos="3780"/>
          <w:tab w:val="center" w:pos="4680"/>
          <w:tab w:val="left" w:pos="5580"/>
        </w:tabs>
        <w:jc w:val="center"/>
        <w:rPr>
          <w:b/>
          <w:caps/>
          <w:sz w:val="20"/>
        </w:rPr>
      </w:pPr>
      <w:bookmarkStart w:id="36" w:name="loc2"/>
      <w:bookmarkEnd w:id="36"/>
      <w:r w:rsidRPr="003D6CC5">
        <w:rPr>
          <w:b/>
          <w:caps/>
          <w:sz w:val="20"/>
        </w:rPr>
        <w:lastRenderedPageBreak/>
        <w:t>APPENDIX A</w:t>
      </w:r>
    </w:p>
    <w:p w:rsidR="003D6CC5" w:rsidRDefault="003D6CC5" w:rsidP="003D6CC5">
      <w:pPr>
        <w:tabs>
          <w:tab w:val="left" w:pos="3780"/>
          <w:tab w:val="center" w:pos="4680"/>
          <w:tab w:val="left" w:pos="5580"/>
        </w:tabs>
        <w:jc w:val="center"/>
        <w:rPr>
          <w:b/>
          <w:caps/>
          <w:sz w:val="20"/>
        </w:rPr>
      </w:pPr>
    </w:p>
    <w:p w:rsidR="003D6CC5" w:rsidRDefault="003D6CC5" w:rsidP="008056B1">
      <w:pPr>
        <w:spacing w:line="240" w:lineRule="atLeast"/>
        <w:rPr>
          <w:caps/>
          <w:sz w:val="18"/>
        </w:rPr>
      </w:pPr>
      <w:r w:rsidRPr="003D6CC5">
        <w:rPr>
          <w:b/>
          <w:caps/>
          <w:noProof/>
          <w:sz w:val="20"/>
        </w:rPr>
        <w:drawing>
          <wp:inline distT="0" distB="0" distL="0" distR="0" wp14:anchorId="12002BA1" wp14:editId="38F7DC95">
            <wp:extent cx="5943600" cy="76733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7673340"/>
                    </a:xfrm>
                    <a:prstGeom prst="rect">
                      <a:avLst/>
                    </a:prstGeom>
                    <a:noFill/>
                    <a:ln>
                      <a:noFill/>
                    </a:ln>
                  </pic:spPr>
                </pic:pic>
              </a:graphicData>
            </a:graphic>
          </wp:inline>
        </w:drawing>
      </w:r>
    </w:p>
    <w:p w:rsidR="003D6CC5" w:rsidRDefault="003D6CC5" w:rsidP="008056B1">
      <w:pPr>
        <w:spacing w:line="240" w:lineRule="atLeast"/>
        <w:rPr>
          <w:caps/>
          <w:sz w:val="18"/>
        </w:rPr>
      </w:pPr>
    </w:p>
    <w:p w:rsidR="003D6CC5" w:rsidRDefault="003D6CC5" w:rsidP="008056B1">
      <w:pPr>
        <w:spacing w:line="240" w:lineRule="atLeast"/>
        <w:rPr>
          <w:caps/>
          <w:sz w:val="18"/>
        </w:rPr>
      </w:pPr>
    </w:p>
    <w:p w:rsidR="003D6CC5" w:rsidRDefault="003D6CC5" w:rsidP="008056B1">
      <w:pPr>
        <w:spacing w:line="240" w:lineRule="atLeast"/>
        <w:rPr>
          <w:caps/>
          <w:sz w:val="18"/>
        </w:rPr>
      </w:pPr>
      <w:r w:rsidRPr="003D6CC5">
        <w:rPr>
          <w:b/>
          <w:caps/>
          <w:noProof/>
          <w:sz w:val="20"/>
        </w:rPr>
        <w:lastRenderedPageBreak/>
        <w:drawing>
          <wp:inline distT="0" distB="0" distL="0" distR="0" wp14:anchorId="2A4D0CB1" wp14:editId="76A51EF0">
            <wp:extent cx="5943600" cy="76733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673340"/>
                    </a:xfrm>
                    <a:prstGeom prst="rect">
                      <a:avLst/>
                    </a:prstGeom>
                    <a:noFill/>
                    <a:ln>
                      <a:noFill/>
                    </a:ln>
                  </pic:spPr>
                </pic:pic>
              </a:graphicData>
            </a:graphic>
          </wp:inline>
        </w:drawing>
      </w:r>
    </w:p>
    <w:p w:rsidR="003D6CC5" w:rsidRDefault="003D6CC5" w:rsidP="008056B1">
      <w:pPr>
        <w:spacing w:line="240" w:lineRule="atLeast"/>
        <w:rPr>
          <w:caps/>
          <w:sz w:val="18"/>
        </w:rPr>
      </w:pPr>
      <w:r w:rsidRPr="003D6CC5">
        <w:rPr>
          <w:caps/>
          <w:noProof/>
          <w:sz w:val="18"/>
        </w:rPr>
        <w:lastRenderedPageBreak/>
        <w:drawing>
          <wp:inline distT="0" distB="0" distL="0" distR="0" wp14:anchorId="33E45003" wp14:editId="3B16FB46">
            <wp:extent cx="5943600" cy="7673758"/>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7673758"/>
                    </a:xfrm>
                    <a:prstGeom prst="rect">
                      <a:avLst/>
                    </a:prstGeom>
                    <a:noFill/>
                    <a:ln>
                      <a:noFill/>
                    </a:ln>
                  </pic:spPr>
                </pic:pic>
              </a:graphicData>
            </a:graphic>
          </wp:inline>
        </w:drawing>
      </w:r>
    </w:p>
    <w:p w:rsidR="008056B1" w:rsidRDefault="003D6CC5" w:rsidP="008056B1">
      <w:pPr>
        <w:spacing w:line="240" w:lineRule="atLeast"/>
        <w:rPr>
          <w:vanish/>
        </w:rPr>
      </w:pPr>
      <w:r w:rsidRPr="003D6CC5">
        <w:rPr>
          <w:caps/>
          <w:noProof/>
          <w:sz w:val="18"/>
        </w:rPr>
        <w:lastRenderedPageBreak/>
        <w:drawing>
          <wp:inline distT="0" distB="0" distL="0" distR="0" wp14:anchorId="4B01A7BC" wp14:editId="2CC3A34B">
            <wp:extent cx="5943600" cy="7673758"/>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673758"/>
                    </a:xfrm>
                    <a:prstGeom prst="rect">
                      <a:avLst/>
                    </a:prstGeom>
                    <a:noFill/>
                    <a:ln>
                      <a:noFill/>
                    </a:ln>
                  </pic:spPr>
                </pic:pic>
              </a:graphicData>
            </a:graphic>
          </wp:inline>
        </w:drawing>
      </w:r>
      <w:r w:rsidR="008056B1">
        <w:rPr>
          <w:caps/>
          <w:vanish/>
          <w:sz w:val="18"/>
        </w:rPr>
        <w:t>DPUC electronic library location k:\finl_dec\filed under utility type, docket no., date</w:t>
      </w:r>
    </w:p>
    <w:p w:rsidR="001F587C" w:rsidRDefault="001F587C">
      <w:pPr>
        <w:ind w:left="60"/>
        <w:sectPr w:rsidR="001F587C" w:rsidSect="004B10F5">
          <w:headerReference w:type="default" r:id="rId21"/>
          <w:headerReference w:type="first" r:id="rId22"/>
          <w:pgSz w:w="12240" w:h="15840" w:code="1"/>
          <w:pgMar w:top="1152" w:right="1440" w:bottom="1152" w:left="1440" w:header="432" w:footer="288" w:gutter="0"/>
          <w:paperSrc w:first="3" w:other="3"/>
          <w:pgNumType w:start="1"/>
          <w:cols w:space="720"/>
          <w:titlePg/>
          <w:docGrid w:linePitch="326"/>
        </w:sectPr>
      </w:pPr>
    </w:p>
    <w:tbl>
      <w:tblPr>
        <w:tblW w:w="0" w:type="auto"/>
        <w:tblLayout w:type="fixed"/>
        <w:tblLook w:val="0000" w:firstRow="0" w:lastRow="0" w:firstColumn="0" w:lastColumn="0" w:noHBand="0" w:noVBand="0"/>
      </w:tblPr>
      <w:tblGrid>
        <w:gridCol w:w="2804"/>
        <w:gridCol w:w="6698"/>
      </w:tblGrid>
      <w:tr w:rsidR="001F587C">
        <w:trPr>
          <w:cantSplit/>
        </w:trPr>
        <w:tc>
          <w:tcPr>
            <w:tcW w:w="2804" w:type="dxa"/>
          </w:tcPr>
          <w:p w:rsidR="001F587C" w:rsidRDefault="001F587C">
            <w:pPr>
              <w:spacing w:line="240" w:lineRule="atLeast"/>
              <w:rPr>
                <w:b/>
                <w:caps/>
              </w:rPr>
            </w:pPr>
            <w:r>
              <w:rPr>
                <w:b/>
                <w:caps/>
              </w:rPr>
              <w:lastRenderedPageBreak/>
              <w:t xml:space="preserve">Docket No. </w:t>
            </w:r>
            <w:r>
              <w:rPr>
                <w:b/>
                <w:caps/>
              </w:rPr>
              <w:fldChar w:fldCharType="begin"/>
            </w:r>
            <w:r>
              <w:rPr>
                <w:b/>
                <w:caps/>
              </w:rPr>
              <w:instrText>ref docknum</w:instrText>
            </w:r>
            <w:r>
              <w:rPr>
                <w:b/>
                <w:caps/>
              </w:rPr>
              <w:fldChar w:fldCharType="separate"/>
            </w:r>
            <w:r w:rsidR="00147B63">
              <w:rPr>
                <w:b/>
                <w:caps/>
              </w:rPr>
              <w:t>18-06-02</w:t>
            </w:r>
            <w:r>
              <w:rPr>
                <w:b/>
                <w:caps/>
              </w:rPr>
              <w:fldChar w:fldCharType="end"/>
            </w:r>
          </w:p>
        </w:tc>
        <w:tc>
          <w:tcPr>
            <w:tcW w:w="6698" w:type="dxa"/>
          </w:tcPr>
          <w:p w:rsidR="001F587C" w:rsidRDefault="001F587C" w:rsidP="003D6CC5">
            <w:pPr>
              <w:spacing w:line="240" w:lineRule="atLeast"/>
              <w:rPr>
                <w:b/>
                <w:caps/>
              </w:rPr>
            </w:pPr>
            <w:r>
              <w:rPr>
                <w:b/>
                <w:caps/>
              </w:rPr>
              <w:fldChar w:fldCharType="begin"/>
            </w:r>
            <w:r>
              <w:rPr>
                <w:b/>
                <w:caps/>
              </w:rPr>
              <w:instrText>ref title</w:instrText>
            </w:r>
            <w:r>
              <w:rPr>
                <w:b/>
                <w:caps/>
              </w:rPr>
              <w:fldChar w:fldCharType="separate"/>
            </w:r>
            <w:r w:rsidR="00147B63">
              <w:rPr>
                <w:b/>
                <w:caps/>
              </w:rPr>
              <w:t>Review of Feasibility, Costs and Benefits of Placing Certain Customers on Standard Service Pursuant to Conn. Gen. Stat. § 16-245o(m)</w:t>
            </w:r>
            <w:r>
              <w:rPr>
                <w:b/>
                <w:caps/>
              </w:rPr>
              <w:fldChar w:fldCharType="end"/>
            </w:r>
          </w:p>
        </w:tc>
      </w:tr>
    </w:tbl>
    <w:p w:rsidR="001F587C" w:rsidRDefault="001F587C">
      <w:pPr>
        <w:ind w:left="60"/>
      </w:pPr>
    </w:p>
    <w:p w:rsidR="001F587C" w:rsidRDefault="001F587C">
      <w:pPr>
        <w:tabs>
          <w:tab w:val="center" w:pos="8881"/>
        </w:tabs>
        <w:ind w:left="60"/>
      </w:pPr>
      <w:r>
        <w:t xml:space="preserve">This Decision is adopted by the following </w:t>
      </w:r>
      <w:r w:rsidR="00601882">
        <w:t>Commissioners</w:t>
      </w:r>
      <w:r>
        <w:t>:</w:t>
      </w:r>
    </w:p>
    <w:p w:rsidR="001F587C" w:rsidRDefault="001F587C">
      <w:pPr>
        <w:tabs>
          <w:tab w:val="center" w:pos="8881"/>
        </w:tabs>
        <w:ind w:left="60"/>
      </w:pPr>
    </w:p>
    <w:p w:rsidR="001F587C" w:rsidRDefault="001F587C">
      <w:pPr>
        <w:tabs>
          <w:tab w:val="center" w:pos="8881"/>
        </w:tabs>
        <w:ind w:left="60"/>
      </w:pPr>
    </w:p>
    <w:tbl>
      <w:tblPr>
        <w:tblW w:w="0" w:type="auto"/>
        <w:tblInd w:w="2220" w:type="dxa"/>
        <w:tblLayout w:type="fixed"/>
        <w:tblLook w:val="0000" w:firstRow="0" w:lastRow="0" w:firstColumn="0" w:lastColumn="0" w:noHBand="0" w:noVBand="0"/>
      </w:tblPr>
      <w:tblGrid>
        <w:gridCol w:w="5427"/>
      </w:tblGrid>
      <w:tr w:rsidR="001F587C">
        <w:trPr>
          <w:cantSplit/>
        </w:trPr>
        <w:tc>
          <w:tcPr>
            <w:tcW w:w="5427" w:type="dxa"/>
          </w:tcPr>
          <w:p w:rsidR="001F587C" w:rsidRDefault="001F587C"/>
        </w:tc>
      </w:tr>
      <w:tr w:rsidR="001F587C">
        <w:trPr>
          <w:cantSplit/>
        </w:trPr>
        <w:tc>
          <w:tcPr>
            <w:tcW w:w="5427" w:type="dxa"/>
          </w:tcPr>
          <w:p w:rsidR="001F587C" w:rsidRDefault="001F587C"/>
        </w:tc>
      </w:tr>
      <w:tr w:rsidR="001F587C">
        <w:trPr>
          <w:cantSplit/>
        </w:trPr>
        <w:tc>
          <w:tcPr>
            <w:tcW w:w="5427" w:type="dxa"/>
            <w:tcBorders>
              <w:top w:val="single" w:sz="6" w:space="0" w:color="auto"/>
            </w:tcBorders>
          </w:tcPr>
          <w:p w:rsidR="001F587C" w:rsidRDefault="000774C6">
            <w:bookmarkStart w:id="37" w:name="comma"/>
            <w:bookmarkEnd w:id="37"/>
            <w:r>
              <w:t>Marissa P. Gillett</w:t>
            </w:r>
          </w:p>
        </w:tc>
      </w:tr>
      <w:tr w:rsidR="001F587C">
        <w:trPr>
          <w:cantSplit/>
        </w:trPr>
        <w:tc>
          <w:tcPr>
            <w:tcW w:w="5427" w:type="dxa"/>
          </w:tcPr>
          <w:p w:rsidR="001F587C" w:rsidRDefault="001F587C"/>
        </w:tc>
      </w:tr>
      <w:tr w:rsidR="001F587C">
        <w:trPr>
          <w:cantSplit/>
        </w:trPr>
        <w:tc>
          <w:tcPr>
            <w:tcW w:w="5427" w:type="dxa"/>
          </w:tcPr>
          <w:p w:rsidR="001F587C" w:rsidRDefault="001F587C"/>
        </w:tc>
      </w:tr>
      <w:tr w:rsidR="001F587C">
        <w:trPr>
          <w:cantSplit/>
        </w:trPr>
        <w:tc>
          <w:tcPr>
            <w:tcW w:w="5427" w:type="dxa"/>
            <w:tcBorders>
              <w:top w:val="single" w:sz="6" w:space="0" w:color="auto"/>
            </w:tcBorders>
          </w:tcPr>
          <w:p w:rsidR="001F587C" w:rsidRDefault="00ED0B41">
            <w:bookmarkStart w:id="38" w:name="commb"/>
            <w:bookmarkEnd w:id="38"/>
            <w:r>
              <w:t xml:space="preserve">John W. Betkoski, III </w:t>
            </w:r>
          </w:p>
        </w:tc>
      </w:tr>
      <w:tr w:rsidR="001F587C">
        <w:trPr>
          <w:cantSplit/>
        </w:trPr>
        <w:tc>
          <w:tcPr>
            <w:tcW w:w="5427" w:type="dxa"/>
          </w:tcPr>
          <w:p w:rsidR="001F587C" w:rsidRDefault="001F587C"/>
        </w:tc>
      </w:tr>
      <w:tr w:rsidR="001F587C">
        <w:trPr>
          <w:cantSplit/>
        </w:trPr>
        <w:tc>
          <w:tcPr>
            <w:tcW w:w="5427" w:type="dxa"/>
          </w:tcPr>
          <w:p w:rsidR="001F587C" w:rsidRDefault="001F587C"/>
        </w:tc>
      </w:tr>
      <w:tr w:rsidR="001F587C">
        <w:trPr>
          <w:cantSplit/>
        </w:trPr>
        <w:tc>
          <w:tcPr>
            <w:tcW w:w="5427" w:type="dxa"/>
            <w:tcBorders>
              <w:top w:val="single" w:sz="6" w:space="0" w:color="auto"/>
            </w:tcBorders>
          </w:tcPr>
          <w:p w:rsidR="001F587C" w:rsidRDefault="000774C6">
            <w:bookmarkStart w:id="39" w:name="commc"/>
            <w:bookmarkEnd w:id="39"/>
            <w:r>
              <w:t>Michael A. Caron</w:t>
            </w:r>
          </w:p>
        </w:tc>
      </w:tr>
      <w:tr w:rsidR="001F587C">
        <w:trPr>
          <w:cantSplit/>
        </w:trPr>
        <w:tc>
          <w:tcPr>
            <w:tcW w:w="5427" w:type="dxa"/>
          </w:tcPr>
          <w:p w:rsidR="001F587C" w:rsidRDefault="001F587C">
            <w:bookmarkStart w:id="40" w:name="B4"/>
            <w:bookmarkEnd w:id="40"/>
          </w:p>
        </w:tc>
      </w:tr>
      <w:tr w:rsidR="001F587C">
        <w:trPr>
          <w:cantSplit/>
        </w:trPr>
        <w:tc>
          <w:tcPr>
            <w:tcW w:w="5427" w:type="dxa"/>
          </w:tcPr>
          <w:p w:rsidR="001F587C" w:rsidRDefault="001F587C">
            <w:bookmarkStart w:id="41" w:name="fourth"/>
            <w:bookmarkStart w:id="42" w:name="UnderL"/>
            <w:bookmarkEnd w:id="41"/>
            <w:bookmarkEnd w:id="42"/>
          </w:p>
        </w:tc>
      </w:tr>
      <w:tr w:rsidR="001F587C">
        <w:trPr>
          <w:cantSplit/>
        </w:trPr>
        <w:tc>
          <w:tcPr>
            <w:tcW w:w="5427" w:type="dxa"/>
          </w:tcPr>
          <w:p w:rsidR="001F587C" w:rsidRDefault="001F587C">
            <w:bookmarkStart w:id="43" w:name="commd"/>
            <w:bookmarkStart w:id="44" w:name="B5"/>
            <w:bookmarkEnd w:id="43"/>
            <w:bookmarkEnd w:id="44"/>
          </w:p>
        </w:tc>
      </w:tr>
      <w:tr w:rsidR="001F587C">
        <w:trPr>
          <w:cantSplit/>
        </w:trPr>
        <w:tc>
          <w:tcPr>
            <w:tcW w:w="5427" w:type="dxa"/>
          </w:tcPr>
          <w:p w:rsidR="001F587C" w:rsidRDefault="001F587C">
            <w:bookmarkStart w:id="45" w:name="fifth"/>
            <w:bookmarkEnd w:id="45"/>
          </w:p>
        </w:tc>
      </w:tr>
      <w:tr w:rsidR="001F587C">
        <w:trPr>
          <w:cantSplit/>
        </w:trPr>
        <w:tc>
          <w:tcPr>
            <w:tcW w:w="5427" w:type="dxa"/>
          </w:tcPr>
          <w:p w:rsidR="001F587C" w:rsidRDefault="001F587C">
            <w:bookmarkStart w:id="46" w:name="UnderL1"/>
            <w:bookmarkEnd w:id="46"/>
          </w:p>
        </w:tc>
      </w:tr>
      <w:tr w:rsidR="001F587C">
        <w:trPr>
          <w:cantSplit/>
        </w:trPr>
        <w:tc>
          <w:tcPr>
            <w:tcW w:w="5427" w:type="dxa"/>
          </w:tcPr>
          <w:p w:rsidR="001F587C" w:rsidRDefault="001F587C">
            <w:bookmarkStart w:id="47" w:name="comme"/>
            <w:bookmarkEnd w:id="47"/>
          </w:p>
        </w:tc>
      </w:tr>
    </w:tbl>
    <w:p w:rsidR="001F587C" w:rsidRDefault="001F587C"/>
    <w:p w:rsidR="001F587C" w:rsidRDefault="001F587C">
      <w:pPr>
        <w:jc w:val="center"/>
        <w:rPr>
          <w:u w:val="single"/>
        </w:rPr>
      </w:pPr>
    </w:p>
    <w:p w:rsidR="001F587C" w:rsidRDefault="001F587C">
      <w:pPr>
        <w:jc w:val="center"/>
        <w:rPr>
          <w:u w:val="single"/>
        </w:rPr>
      </w:pPr>
      <w:r>
        <w:rPr>
          <w:u w:val="single"/>
        </w:rPr>
        <w:t>CERTIFICATE OF SERVICE</w:t>
      </w:r>
    </w:p>
    <w:p w:rsidR="001F587C" w:rsidRDefault="001F587C">
      <w:pPr>
        <w:jc w:val="center"/>
      </w:pPr>
    </w:p>
    <w:p w:rsidR="001F587C" w:rsidRDefault="001F587C">
      <w:r>
        <w:tab/>
        <w:t xml:space="preserve">The foregoing is a true and correct copy of the Decision issued by the </w:t>
      </w:r>
      <w:r w:rsidR="00867840">
        <w:t>Public Utilities Regulatory Authority</w:t>
      </w:r>
      <w:r>
        <w:t>, State of Connecticut, and was forwarded by Certified Mail to all parties of record in this proceeding on the date indicated.</w:t>
      </w:r>
    </w:p>
    <w:p w:rsidR="001F587C" w:rsidRDefault="001F587C"/>
    <w:p w:rsidR="001F587C" w:rsidRDefault="001F587C"/>
    <w:tbl>
      <w:tblPr>
        <w:tblW w:w="9468" w:type="dxa"/>
        <w:tblInd w:w="180" w:type="dxa"/>
        <w:tblLayout w:type="fixed"/>
        <w:tblLook w:val="0000" w:firstRow="0" w:lastRow="0" w:firstColumn="0" w:lastColumn="0" w:noHBand="0" w:noVBand="0"/>
      </w:tblPr>
      <w:tblGrid>
        <w:gridCol w:w="918"/>
        <w:gridCol w:w="5850"/>
        <w:gridCol w:w="270"/>
        <w:gridCol w:w="2430"/>
      </w:tblGrid>
      <w:tr w:rsidR="001F587C" w:rsidTr="006826A9">
        <w:trPr>
          <w:cantSplit/>
        </w:trPr>
        <w:tc>
          <w:tcPr>
            <w:tcW w:w="918" w:type="dxa"/>
          </w:tcPr>
          <w:p w:rsidR="001F587C" w:rsidRDefault="001F587C"/>
        </w:tc>
        <w:tc>
          <w:tcPr>
            <w:tcW w:w="5850" w:type="dxa"/>
          </w:tcPr>
          <w:p w:rsidR="001F587C" w:rsidRDefault="001F587C"/>
        </w:tc>
        <w:tc>
          <w:tcPr>
            <w:tcW w:w="270" w:type="dxa"/>
          </w:tcPr>
          <w:p w:rsidR="001F587C" w:rsidRDefault="001F587C"/>
        </w:tc>
        <w:tc>
          <w:tcPr>
            <w:tcW w:w="2430" w:type="dxa"/>
          </w:tcPr>
          <w:p w:rsidR="001F587C" w:rsidRDefault="001F587C"/>
        </w:tc>
      </w:tr>
      <w:tr w:rsidR="001F587C" w:rsidTr="006826A9">
        <w:trPr>
          <w:cantSplit/>
        </w:trPr>
        <w:tc>
          <w:tcPr>
            <w:tcW w:w="918" w:type="dxa"/>
          </w:tcPr>
          <w:p w:rsidR="001F587C" w:rsidRDefault="001F587C"/>
        </w:tc>
        <w:tc>
          <w:tcPr>
            <w:tcW w:w="5850" w:type="dxa"/>
          </w:tcPr>
          <w:p w:rsidR="001F587C" w:rsidRDefault="001F587C"/>
        </w:tc>
        <w:tc>
          <w:tcPr>
            <w:tcW w:w="270" w:type="dxa"/>
          </w:tcPr>
          <w:p w:rsidR="001F587C" w:rsidRDefault="001F587C"/>
        </w:tc>
        <w:tc>
          <w:tcPr>
            <w:tcW w:w="2430" w:type="dxa"/>
          </w:tcPr>
          <w:p w:rsidR="001F587C" w:rsidRDefault="001F587C"/>
        </w:tc>
      </w:tr>
      <w:tr w:rsidR="001F587C" w:rsidTr="006826A9">
        <w:trPr>
          <w:cantSplit/>
        </w:trPr>
        <w:tc>
          <w:tcPr>
            <w:tcW w:w="918" w:type="dxa"/>
          </w:tcPr>
          <w:p w:rsidR="001F587C" w:rsidRDefault="001F587C"/>
        </w:tc>
        <w:tc>
          <w:tcPr>
            <w:tcW w:w="5850" w:type="dxa"/>
          </w:tcPr>
          <w:p w:rsidR="001F587C" w:rsidRDefault="001F587C"/>
        </w:tc>
        <w:tc>
          <w:tcPr>
            <w:tcW w:w="270" w:type="dxa"/>
          </w:tcPr>
          <w:p w:rsidR="001F587C" w:rsidRDefault="001F587C"/>
        </w:tc>
        <w:tc>
          <w:tcPr>
            <w:tcW w:w="2430" w:type="dxa"/>
          </w:tcPr>
          <w:p w:rsidR="001F587C" w:rsidRDefault="001F587C"/>
        </w:tc>
      </w:tr>
      <w:tr w:rsidR="001F587C" w:rsidTr="006826A9">
        <w:trPr>
          <w:cantSplit/>
        </w:trPr>
        <w:tc>
          <w:tcPr>
            <w:tcW w:w="918" w:type="dxa"/>
          </w:tcPr>
          <w:p w:rsidR="001F587C" w:rsidRDefault="001F587C"/>
        </w:tc>
        <w:tc>
          <w:tcPr>
            <w:tcW w:w="5850" w:type="dxa"/>
            <w:tcBorders>
              <w:bottom w:val="single" w:sz="12" w:space="0" w:color="auto"/>
            </w:tcBorders>
          </w:tcPr>
          <w:p w:rsidR="001F587C" w:rsidRDefault="001F587C"/>
        </w:tc>
        <w:tc>
          <w:tcPr>
            <w:tcW w:w="270" w:type="dxa"/>
          </w:tcPr>
          <w:p w:rsidR="001F587C" w:rsidRDefault="001F587C"/>
        </w:tc>
        <w:tc>
          <w:tcPr>
            <w:tcW w:w="2430" w:type="dxa"/>
            <w:tcBorders>
              <w:bottom w:val="single" w:sz="12" w:space="0" w:color="auto"/>
            </w:tcBorders>
          </w:tcPr>
          <w:p w:rsidR="001F587C" w:rsidRDefault="001F587C"/>
        </w:tc>
      </w:tr>
      <w:tr w:rsidR="001F587C" w:rsidTr="006826A9">
        <w:trPr>
          <w:cantSplit/>
        </w:trPr>
        <w:tc>
          <w:tcPr>
            <w:tcW w:w="918" w:type="dxa"/>
          </w:tcPr>
          <w:p w:rsidR="001F587C" w:rsidRDefault="001F587C"/>
        </w:tc>
        <w:tc>
          <w:tcPr>
            <w:tcW w:w="5850" w:type="dxa"/>
          </w:tcPr>
          <w:p w:rsidR="001F587C" w:rsidRDefault="00F71FCC">
            <w:r>
              <w:t>Jeffrey R. Gaudiosi, Esq.</w:t>
            </w:r>
          </w:p>
        </w:tc>
        <w:tc>
          <w:tcPr>
            <w:tcW w:w="270" w:type="dxa"/>
          </w:tcPr>
          <w:p w:rsidR="001F587C" w:rsidRDefault="001F587C"/>
        </w:tc>
        <w:tc>
          <w:tcPr>
            <w:tcW w:w="2430" w:type="dxa"/>
          </w:tcPr>
          <w:p w:rsidR="001F587C" w:rsidRDefault="001F587C">
            <w:r>
              <w:t>Date</w:t>
            </w:r>
          </w:p>
        </w:tc>
      </w:tr>
      <w:tr w:rsidR="001F587C" w:rsidTr="006826A9">
        <w:trPr>
          <w:cantSplit/>
        </w:trPr>
        <w:tc>
          <w:tcPr>
            <w:tcW w:w="918" w:type="dxa"/>
          </w:tcPr>
          <w:p w:rsidR="001F587C" w:rsidRDefault="001F587C"/>
        </w:tc>
        <w:tc>
          <w:tcPr>
            <w:tcW w:w="5850" w:type="dxa"/>
          </w:tcPr>
          <w:p w:rsidR="001F587C" w:rsidRDefault="00F71FCC">
            <w:r>
              <w:t>Executive Secretary</w:t>
            </w:r>
          </w:p>
        </w:tc>
        <w:tc>
          <w:tcPr>
            <w:tcW w:w="270" w:type="dxa"/>
          </w:tcPr>
          <w:p w:rsidR="001F587C" w:rsidRDefault="001F587C"/>
        </w:tc>
        <w:tc>
          <w:tcPr>
            <w:tcW w:w="2430" w:type="dxa"/>
          </w:tcPr>
          <w:p w:rsidR="001F587C" w:rsidRDefault="001F587C"/>
        </w:tc>
      </w:tr>
      <w:tr w:rsidR="001F587C" w:rsidTr="006826A9">
        <w:trPr>
          <w:cantSplit/>
        </w:trPr>
        <w:tc>
          <w:tcPr>
            <w:tcW w:w="918" w:type="dxa"/>
          </w:tcPr>
          <w:p w:rsidR="001F587C" w:rsidRDefault="001F587C"/>
        </w:tc>
        <w:tc>
          <w:tcPr>
            <w:tcW w:w="5850" w:type="dxa"/>
          </w:tcPr>
          <w:p w:rsidR="001F587C" w:rsidRDefault="00867840">
            <w:r>
              <w:t>Public Utilities Regulatory Authority</w:t>
            </w:r>
          </w:p>
        </w:tc>
        <w:tc>
          <w:tcPr>
            <w:tcW w:w="270" w:type="dxa"/>
          </w:tcPr>
          <w:p w:rsidR="001F587C" w:rsidRDefault="001F587C"/>
        </w:tc>
        <w:tc>
          <w:tcPr>
            <w:tcW w:w="2430" w:type="dxa"/>
          </w:tcPr>
          <w:p w:rsidR="001F587C" w:rsidRDefault="001F587C"/>
        </w:tc>
      </w:tr>
    </w:tbl>
    <w:p w:rsidR="003D6CC5" w:rsidRPr="003D6CC5" w:rsidRDefault="003D6CC5" w:rsidP="003D6CC5">
      <w:pPr>
        <w:tabs>
          <w:tab w:val="left" w:pos="5580"/>
        </w:tabs>
        <w:jc w:val="center"/>
        <w:rPr>
          <w:b/>
          <w:caps/>
          <w:sz w:val="20"/>
        </w:rPr>
      </w:pPr>
    </w:p>
    <w:sectPr w:rsidR="003D6CC5" w:rsidRPr="003D6CC5" w:rsidSect="004B10F5">
      <w:headerReference w:type="default" r:id="rId23"/>
      <w:headerReference w:type="first" r:id="rId24"/>
      <w:pgSz w:w="12240" w:h="15840" w:code="1"/>
      <w:pgMar w:top="1152" w:right="1440" w:bottom="1152" w:left="1440" w:header="432" w:footer="288" w:gutter="0"/>
      <w:paperSrc w:first="3" w:other="3"/>
      <w:pgNumType w:start="1"/>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EE3B1C" w16cid:durableId="2157F6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550" w:rsidRDefault="00063550">
      <w:r>
        <w:separator/>
      </w:r>
    </w:p>
  </w:endnote>
  <w:endnote w:type="continuationSeparator" w:id="0">
    <w:p w:rsidR="00063550" w:rsidRDefault="00063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RKeyCaps">
    <w:charset w:val="00"/>
    <w:family w:val="decorative"/>
    <w:pitch w:val="variable"/>
    <w:sig w:usb0="00000003" w:usb1="00000000" w:usb2="00000000" w:usb3="00000000" w:csb0="00000001" w:csb1="00000000"/>
  </w:font>
  <w:font w:name="RRKeyLetters">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31" w:type="dxa"/>
      <w:tblLayout w:type="fixed"/>
      <w:tblLook w:val="0000" w:firstRow="0" w:lastRow="0" w:firstColumn="0" w:lastColumn="0" w:noHBand="0" w:noVBand="0"/>
    </w:tblPr>
    <w:tblGrid>
      <w:gridCol w:w="5295"/>
      <w:gridCol w:w="4100"/>
      <w:gridCol w:w="7"/>
    </w:tblGrid>
    <w:tr w:rsidR="00E06CFA">
      <w:trPr>
        <w:cantSplit/>
      </w:trPr>
      <w:tc>
        <w:tcPr>
          <w:tcW w:w="9402" w:type="dxa"/>
          <w:gridSpan w:val="3"/>
        </w:tcPr>
        <w:p w:rsidR="00E06CFA" w:rsidRDefault="00E06CFA">
          <w:pPr>
            <w:pStyle w:val="Footer"/>
          </w:pPr>
          <w:r>
            <w:t xml:space="preserve">Name of Document: </w:t>
          </w:r>
          <w:r>
            <w:rPr>
              <w:noProof/>
            </w:rPr>
            <w:fldChar w:fldCharType="begin"/>
          </w:r>
          <w:r>
            <w:rPr>
              <w:noProof/>
            </w:rPr>
            <w:instrText xml:space="preserve"> FILENAME \p \* MERGEFORMAT </w:instrText>
          </w:r>
          <w:r>
            <w:rPr>
              <w:noProof/>
            </w:rPr>
            <w:fldChar w:fldCharType="separate"/>
          </w:r>
          <w:r w:rsidR="00147B63">
            <w:rPr>
              <w:noProof/>
            </w:rPr>
            <w:t>\\deep\public\NewBritainShared\PURA\SharData\AGENCY\ELECTRIC\18\18-06-02\Drafts\df180602 - final- No section break.docx</w:t>
          </w:r>
          <w:r>
            <w:rPr>
              <w:noProof/>
            </w:rPr>
            <w:fldChar w:fldCharType="end"/>
          </w:r>
        </w:p>
      </w:tc>
    </w:tr>
    <w:tr w:rsidR="00E06CFA">
      <w:trPr>
        <w:gridAfter w:val="1"/>
        <w:wAfter w:w="7" w:type="dxa"/>
        <w:cantSplit/>
      </w:trPr>
      <w:tc>
        <w:tcPr>
          <w:tcW w:w="5295" w:type="dxa"/>
        </w:tcPr>
        <w:p w:rsidR="00E06CFA" w:rsidRDefault="00E06CFA" w:rsidP="00C25042">
          <w:pPr>
            <w:pStyle w:val="Footer"/>
          </w:pPr>
          <w:r>
            <w:t xml:space="preserve">Lead staff: </w:t>
          </w:r>
          <w:r>
            <w:fldChar w:fldCharType="begin"/>
          </w:r>
          <w:r>
            <w:instrText xml:space="preserve"> ref Lead</w:instrText>
          </w:r>
          <w:r>
            <w:fldChar w:fldCharType="separate"/>
          </w:r>
          <w:r w:rsidR="00147B63">
            <w:rPr>
              <w:b/>
              <w:bCs/>
            </w:rPr>
            <w:t>Error! Reference source not found.</w:t>
          </w:r>
          <w:r>
            <w:fldChar w:fldCharType="end"/>
          </w:r>
          <w:r>
            <w:t xml:space="preserve">  Legal Advisor: </w:t>
          </w:r>
          <w:r>
            <w:fldChar w:fldCharType="begin"/>
          </w:r>
          <w:r>
            <w:instrText xml:space="preserve"> ref Legal</w:instrText>
          </w:r>
          <w:r>
            <w:fldChar w:fldCharType="separate"/>
          </w:r>
          <w:r w:rsidR="00147B63">
            <w:rPr>
              <w:b/>
              <w:bCs/>
            </w:rPr>
            <w:t>Error! Reference source not found.</w:t>
          </w:r>
          <w:r>
            <w:fldChar w:fldCharType="end"/>
          </w:r>
        </w:p>
      </w:tc>
      <w:tc>
        <w:tcPr>
          <w:tcW w:w="4100" w:type="dxa"/>
        </w:tcPr>
        <w:p w:rsidR="00E06CFA" w:rsidRDefault="00E06CFA">
          <w:pPr>
            <w:pStyle w:val="Footer"/>
            <w:jc w:val="right"/>
          </w:pPr>
          <w:r>
            <w:t xml:space="preserve">Date/Time: </w:t>
          </w:r>
          <w:r>
            <w:fldChar w:fldCharType="begin"/>
          </w:r>
          <w:r>
            <w:instrText>TIME \@ "MMMM d, yyyy"</w:instrText>
          </w:r>
          <w:r>
            <w:fldChar w:fldCharType="separate"/>
          </w:r>
          <w:r w:rsidR="00162342">
            <w:rPr>
              <w:noProof/>
            </w:rPr>
            <w:t>December 3, 2019</w:t>
          </w:r>
          <w:r>
            <w:fldChar w:fldCharType="end"/>
          </w:r>
          <w:r>
            <w:t xml:space="preserve"> </w:t>
          </w:r>
          <w:r>
            <w:fldChar w:fldCharType="begin"/>
          </w:r>
          <w:r>
            <w:instrText>TIME \@ "hh:mm AM/PM"</w:instrText>
          </w:r>
          <w:r>
            <w:fldChar w:fldCharType="separate"/>
          </w:r>
          <w:r w:rsidR="00162342">
            <w:rPr>
              <w:noProof/>
            </w:rPr>
            <w:t>10:22 AM</w:t>
          </w:r>
          <w:r>
            <w:fldChar w:fldCharType="end"/>
          </w:r>
        </w:p>
      </w:tc>
    </w:tr>
  </w:tbl>
  <w:p w:rsidR="00E06CFA" w:rsidRDefault="00E06CFA">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CFA" w:rsidRDefault="00E06CF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CFA" w:rsidRDefault="00E06CFA">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CFA" w:rsidRDefault="00E06CF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550" w:rsidRDefault="00063550">
      <w:r>
        <w:separator/>
      </w:r>
    </w:p>
  </w:footnote>
  <w:footnote w:type="continuationSeparator" w:id="0">
    <w:p w:rsidR="00063550" w:rsidRDefault="00063550">
      <w:r>
        <w:continuationSeparator/>
      </w:r>
    </w:p>
  </w:footnote>
  <w:footnote w:id="1">
    <w:p w:rsidR="00E06CFA" w:rsidRDefault="00E06CFA">
      <w:pPr>
        <w:pStyle w:val="FootnoteText"/>
      </w:pPr>
      <w:r>
        <w:rPr>
          <w:rStyle w:val="FootnoteReference"/>
        </w:rPr>
        <w:footnoteRef/>
      </w:r>
      <w:r>
        <w:t xml:space="preserve"> This docket was initiated in 2018 and the OCC evaluated data from 2016 through 2018.  OCC did not evaluate data from years prior to 2016 because residential customers could be charged variable rates at that time.</w:t>
      </w:r>
    </w:p>
  </w:footnote>
  <w:footnote w:id="2">
    <w:p w:rsidR="00E06CFA" w:rsidRDefault="00E06CFA">
      <w:pPr>
        <w:pStyle w:val="FootnoteText"/>
      </w:pPr>
      <w:r>
        <w:rPr>
          <w:rStyle w:val="FootnoteReference"/>
        </w:rPr>
        <w:footnoteRef/>
      </w:r>
      <w:r>
        <w:t xml:space="preserve"> Conn. Gen. Stat. § 16-245d(b) states, “An electric distribution company that provides billing services for an electric supplier shall be entitled to recover from the electric supplier all reasonable transaction costs to provide such billing services as well as a reasonable rate of return, in accordance with the principles in subsection (a) of section 16-19e.”</w:t>
      </w:r>
    </w:p>
  </w:footnote>
  <w:footnote w:id="3">
    <w:p w:rsidR="00E06CFA" w:rsidRDefault="00E06CFA" w:rsidP="0067159D">
      <w:pPr>
        <w:pStyle w:val="FootnoteText"/>
      </w:pPr>
      <w:r>
        <w:rPr>
          <w:rStyle w:val="FootnoteReference"/>
        </w:rPr>
        <w:footnoteRef/>
      </w:r>
      <w:r>
        <w:t xml:space="preserve"> Standard service is electric supply purchased through the electric distribution companies (EDC). </w:t>
      </w:r>
    </w:p>
  </w:footnote>
  <w:footnote w:id="4">
    <w:p w:rsidR="00E06CFA" w:rsidRDefault="00E06CFA" w:rsidP="0067159D">
      <w:pPr>
        <w:pStyle w:val="FootnoteText"/>
      </w:pPr>
      <w:r>
        <w:rPr>
          <w:rStyle w:val="FootnoteReference"/>
        </w:rPr>
        <w:footnoteRef/>
      </w:r>
      <w:r>
        <w:t xml:space="preserve"> The Authority notes that RESA’s argument regarding supplier offers cites to rates posted on the EnergizeCT.com (Rate Board), yet there is no evidence that hardship customers contract with suppliers via the Rate Board.  There is also no evidence in the record to suggest that door-to-door or telephone market</w:t>
      </w:r>
      <w:r w:rsidR="00733E56">
        <w:t xml:space="preserve">ers offered hardship customers </w:t>
      </w:r>
      <w:r>
        <w:t xml:space="preserve">the best rate available on the Rate Board. To the contrary, the contract prices paid by hardship </w:t>
      </w:r>
      <w:proofErr w:type="gramStart"/>
      <w:r>
        <w:t>customers</w:t>
      </w:r>
      <w:proofErr w:type="gramEnd"/>
      <w:r>
        <w:t xml:space="preserve"> show that hardship customers are generally paying prices higher than standard service and other available lower price supplier offers that may be available </w:t>
      </w:r>
      <w:r w:rsidRPr="00F06588">
        <w:t>via the Rate Board</w:t>
      </w:r>
      <w:r>
        <w:t xml:space="preserve">. </w:t>
      </w:r>
    </w:p>
  </w:footnote>
  <w:footnote w:id="5">
    <w:p w:rsidR="00E06CFA" w:rsidRDefault="00E06CFA" w:rsidP="0067159D">
      <w:pPr>
        <w:pStyle w:val="FootnoteText"/>
      </w:pPr>
      <w:r>
        <w:rPr>
          <w:rStyle w:val="FootnoteReference"/>
        </w:rPr>
        <w:footnoteRef/>
      </w:r>
      <w:r>
        <w:t xml:space="preserve"> </w:t>
      </w:r>
      <w:r>
        <w:rPr>
          <w:rFonts w:cs="Arial"/>
          <w:szCs w:val="24"/>
        </w:rPr>
        <w:t xml:space="preserve">RESA’s witness opined that hardship customers could have saved money had every hardship customer signed up for one rate posted by one supplier for a limited time on the Rate Board.  </w:t>
      </w:r>
      <w:r w:rsidRPr="004E0076">
        <w:rPr>
          <w:rFonts w:cs="Arial"/>
          <w:i/>
          <w:szCs w:val="24"/>
        </w:rPr>
        <w:t>See</w:t>
      </w:r>
      <w:r>
        <w:rPr>
          <w:rFonts w:cs="Arial"/>
          <w:szCs w:val="24"/>
        </w:rPr>
        <w:t xml:space="preserve"> RESA Pre-filed testimony, p. 25-26.  Not only is his calculation theoretical and based on the exceptionally unlikely probability that every hardship customer would sign up for the same rate with the same supplier, RESA’s witness offered no evidence that </w:t>
      </w:r>
      <w:r w:rsidRPr="00DA7FA8">
        <w:rPr>
          <w:rFonts w:cs="Arial"/>
          <w:i/>
          <w:szCs w:val="24"/>
        </w:rPr>
        <w:t>any</w:t>
      </w:r>
      <w:r>
        <w:rPr>
          <w:rFonts w:cs="Arial"/>
          <w:szCs w:val="24"/>
        </w:rPr>
        <w:t xml:space="preserve"> hardship customer signed up for the exemplary rate.    </w:t>
      </w:r>
    </w:p>
  </w:footnote>
  <w:footnote w:id="6">
    <w:p w:rsidR="00E06CFA" w:rsidRDefault="00E06CFA" w:rsidP="0067159D">
      <w:pPr>
        <w:pStyle w:val="FootnoteText"/>
      </w:pPr>
      <w:r>
        <w:rPr>
          <w:rStyle w:val="FootnoteReference"/>
        </w:rPr>
        <w:footnoteRef/>
      </w:r>
      <w:r>
        <w:t xml:space="preserve"> OCC’s data showed that all customers contracting with a supplier during the time period in question paid a premium, but hardship customers paid a premium of $0.0171 per kWh, whereas non-hardship customers paid a premium of only $0.0097 per kWh.  </w:t>
      </w:r>
    </w:p>
  </w:footnote>
  <w:footnote w:id="7">
    <w:p w:rsidR="00E06CFA" w:rsidRDefault="00E06CFA" w:rsidP="0067159D">
      <w:pPr>
        <w:pStyle w:val="FootnoteText"/>
      </w:pPr>
      <w:r>
        <w:rPr>
          <w:rStyle w:val="FootnoteReference"/>
        </w:rPr>
        <w:footnoteRef/>
      </w:r>
      <w:r>
        <w:t xml:space="preserve"> In approximating the costs, the Authority rounded </w:t>
      </w:r>
      <w:proofErr w:type="spellStart"/>
      <w:r>
        <w:t>Eversource’s</w:t>
      </w:r>
      <w:proofErr w:type="spellEnd"/>
      <w:r>
        <w:t xml:space="preserve"> high-end estimates.  Low-end estimates would result in costs reducing approximately $59,000.  </w:t>
      </w:r>
    </w:p>
  </w:footnote>
  <w:footnote w:id="8">
    <w:p w:rsidR="00E06CFA" w:rsidRDefault="00E06CFA" w:rsidP="0067159D">
      <w:pPr>
        <w:pStyle w:val="FootnoteText"/>
      </w:pPr>
      <w:r w:rsidRPr="00E06CFA">
        <w:rPr>
          <w:rStyle w:val="FootnoteReference"/>
        </w:rPr>
        <w:footnoteRef/>
      </w:r>
      <w:r w:rsidRPr="00E06CFA">
        <w:t xml:space="preserve"> As a result of requirements in Docket No. 14-07-19RE05, suppliers must notify customers of the reason of their rejected enrollment.  This will require the EDCs to submit to the suppliers a code or reason for the rejection.  The EDCs could have a code for “other,” encompassing reasons not implicating a failure on the part of the supplier to submit the supply summary information with the enrollment and such code could indicate the enrollment should not be resubmitted.</w:t>
      </w:r>
      <w:r>
        <w:t xml:space="preserve">   </w:t>
      </w:r>
    </w:p>
  </w:footnote>
  <w:footnote w:id="9">
    <w:p w:rsidR="00E06CFA" w:rsidRDefault="00E06CFA">
      <w:pPr>
        <w:pStyle w:val="FootnoteText"/>
      </w:pPr>
      <w:r>
        <w:rPr>
          <w:rStyle w:val="FootnoteReference"/>
        </w:rPr>
        <w:footnoteRef/>
      </w:r>
      <w:r>
        <w:t xml:space="preserve"> See, Conn. Gen. Stat. </w:t>
      </w:r>
      <w:r w:rsidRPr="00A504F8">
        <w:t>§ 1-2z</w:t>
      </w:r>
      <w:r>
        <w:t xml:space="preserve"> which providers, “</w:t>
      </w:r>
      <w:r w:rsidRPr="00A504F8">
        <w:t xml:space="preserve">The meaning of a statute shall, in the first instance, be ascertained from the text of the statute itself and its relationship to other statutes. If, after examining such text and considering such relationship, the meaning of such text is plain and unambiguous and does not yield absurd or unworkable results, </w:t>
      </w:r>
      <w:proofErr w:type="spellStart"/>
      <w:r w:rsidRPr="00A504F8">
        <w:t>extratextual</w:t>
      </w:r>
      <w:proofErr w:type="spellEnd"/>
      <w:r w:rsidRPr="00A504F8">
        <w:t xml:space="preserve"> evidence of the meaning of the statute shall not be considered.</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120"/>
      <w:gridCol w:w="3712"/>
      <w:gridCol w:w="2851"/>
    </w:tblGrid>
    <w:tr w:rsidR="00E06CFA">
      <w:trPr>
        <w:cantSplit/>
      </w:trPr>
      <w:tc>
        <w:tcPr>
          <w:tcW w:w="3120" w:type="dxa"/>
        </w:tcPr>
        <w:p w:rsidR="00E06CFA" w:rsidRDefault="00E06CFA">
          <w:pPr>
            <w:pStyle w:val="Header"/>
            <w:rPr>
              <w:b w:val="0"/>
            </w:rPr>
          </w:pPr>
          <w:r>
            <w:rPr>
              <w:b w:val="0"/>
            </w:rPr>
            <w:t xml:space="preserve">Docket No. </w:t>
          </w:r>
          <w:r>
            <w:rPr>
              <w:b w:val="0"/>
            </w:rPr>
            <w:fldChar w:fldCharType="begin"/>
          </w:r>
          <w:r>
            <w:rPr>
              <w:b w:val="0"/>
            </w:rPr>
            <w:instrText>ref docknum</w:instrText>
          </w:r>
          <w:r>
            <w:rPr>
              <w:b w:val="0"/>
            </w:rPr>
            <w:fldChar w:fldCharType="separate"/>
          </w:r>
          <w:r w:rsidR="00147B63">
            <w:rPr>
              <w:caps/>
            </w:rPr>
            <w:t>18-06-02</w:t>
          </w:r>
          <w:r>
            <w:rPr>
              <w:b w:val="0"/>
            </w:rPr>
            <w:fldChar w:fldCharType="end"/>
          </w:r>
        </w:p>
      </w:tc>
      <w:tc>
        <w:tcPr>
          <w:tcW w:w="3712" w:type="dxa"/>
        </w:tcPr>
        <w:p w:rsidR="00E06CFA" w:rsidRDefault="00E06CFA">
          <w:pPr>
            <w:pStyle w:val="Header"/>
            <w:jc w:val="right"/>
            <w:rPr>
              <w:b w:val="0"/>
            </w:rPr>
          </w:pPr>
        </w:p>
      </w:tc>
      <w:tc>
        <w:tcPr>
          <w:tcW w:w="2851" w:type="dxa"/>
        </w:tcPr>
        <w:p w:rsidR="00E06CFA" w:rsidRDefault="00E06CFA">
          <w:pPr>
            <w:pStyle w:val="Footer"/>
            <w:jc w:val="right"/>
            <w:rPr>
              <w:sz w:val="24"/>
            </w:rPr>
          </w:pPr>
          <w:r>
            <w:rPr>
              <w:sz w:val="24"/>
            </w:rPr>
            <w:t xml:space="preserve">Page  </w:t>
          </w:r>
          <w:r>
            <w:rPr>
              <w:sz w:val="24"/>
            </w:rPr>
            <w:fldChar w:fldCharType="begin"/>
          </w:r>
          <w:r>
            <w:rPr>
              <w:sz w:val="24"/>
            </w:rPr>
            <w:instrText>PAGE</w:instrText>
          </w:r>
          <w:r>
            <w:rPr>
              <w:sz w:val="24"/>
            </w:rPr>
            <w:fldChar w:fldCharType="separate"/>
          </w:r>
          <w:r>
            <w:rPr>
              <w:noProof/>
              <w:sz w:val="24"/>
            </w:rPr>
            <w:t>2</w:t>
          </w:r>
          <w:r>
            <w:rPr>
              <w:sz w:val="24"/>
            </w:rPr>
            <w:fldChar w:fldCharType="end"/>
          </w:r>
        </w:p>
      </w:tc>
    </w:tr>
  </w:tbl>
  <w:p w:rsidR="00E06CFA" w:rsidRDefault="00E06C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120"/>
      <w:gridCol w:w="3712"/>
      <w:gridCol w:w="2851"/>
    </w:tblGrid>
    <w:tr w:rsidR="00E06CFA">
      <w:trPr>
        <w:cantSplit/>
      </w:trPr>
      <w:tc>
        <w:tcPr>
          <w:tcW w:w="3120" w:type="dxa"/>
        </w:tcPr>
        <w:p w:rsidR="00E06CFA" w:rsidRDefault="00E06CFA">
          <w:pPr>
            <w:pStyle w:val="Header"/>
            <w:rPr>
              <w:b w:val="0"/>
            </w:rPr>
          </w:pPr>
          <w:r>
            <w:rPr>
              <w:b w:val="0"/>
            </w:rPr>
            <w:t xml:space="preserve">Docket No. </w:t>
          </w:r>
          <w:r>
            <w:rPr>
              <w:b w:val="0"/>
            </w:rPr>
            <w:fldChar w:fldCharType="begin"/>
          </w:r>
          <w:r>
            <w:rPr>
              <w:b w:val="0"/>
            </w:rPr>
            <w:instrText>ref docknum</w:instrText>
          </w:r>
          <w:r>
            <w:rPr>
              <w:b w:val="0"/>
            </w:rPr>
            <w:fldChar w:fldCharType="separate"/>
          </w:r>
          <w:r w:rsidR="00147B63">
            <w:rPr>
              <w:caps/>
            </w:rPr>
            <w:t>18-06-02</w:t>
          </w:r>
          <w:r>
            <w:rPr>
              <w:b w:val="0"/>
            </w:rPr>
            <w:fldChar w:fldCharType="end"/>
          </w:r>
        </w:p>
      </w:tc>
      <w:tc>
        <w:tcPr>
          <w:tcW w:w="3712" w:type="dxa"/>
        </w:tcPr>
        <w:p w:rsidR="00E06CFA" w:rsidRDefault="00E06CFA">
          <w:pPr>
            <w:pStyle w:val="Header"/>
            <w:jc w:val="right"/>
            <w:rPr>
              <w:b w:val="0"/>
            </w:rPr>
          </w:pPr>
        </w:p>
      </w:tc>
      <w:tc>
        <w:tcPr>
          <w:tcW w:w="2851" w:type="dxa"/>
        </w:tcPr>
        <w:p w:rsidR="00E06CFA" w:rsidRDefault="00E06CFA">
          <w:pPr>
            <w:pStyle w:val="Footer"/>
            <w:jc w:val="right"/>
            <w:rPr>
              <w:sz w:val="24"/>
            </w:rPr>
          </w:pPr>
          <w:r>
            <w:rPr>
              <w:sz w:val="24"/>
            </w:rPr>
            <w:t xml:space="preserve">Page  </w:t>
          </w:r>
          <w:r>
            <w:rPr>
              <w:sz w:val="24"/>
            </w:rPr>
            <w:fldChar w:fldCharType="begin"/>
          </w:r>
          <w:r>
            <w:rPr>
              <w:sz w:val="24"/>
            </w:rPr>
            <w:instrText>PAGE</w:instrText>
          </w:r>
          <w:r>
            <w:rPr>
              <w:sz w:val="24"/>
            </w:rPr>
            <w:fldChar w:fldCharType="separate"/>
          </w:r>
          <w:r>
            <w:rPr>
              <w:noProof/>
              <w:sz w:val="24"/>
            </w:rPr>
            <w:t>4</w:t>
          </w:r>
          <w:r>
            <w:rPr>
              <w:sz w:val="24"/>
            </w:rPr>
            <w:fldChar w:fldCharType="end"/>
          </w:r>
        </w:p>
      </w:tc>
    </w:tr>
  </w:tbl>
  <w:p w:rsidR="00E06CFA" w:rsidRDefault="00E06C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120"/>
      <w:gridCol w:w="3712"/>
      <w:gridCol w:w="2851"/>
    </w:tblGrid>
    <w:tr w:rsidR="00E06CFA">
      <w:trPr>
        <w:cantSplit/>
      </w:trPr>
      <w:tc>
        <w:tcPr>
          <w:tcW w:w="3120" w:type="dxa"/>
        </w:tcPr>
        <w:p w:rsidR="00E06CFA" w:rsidRDefault="00E06CFA">
          <w:pPr>
            <w:pStyle w:val="Header"/>
            <w:rPr>
              <w:b w:val="0"/>
            </w:rPr>
          </w:pPr>
          <w:r>
            <w:rPr>
              <w:b w:val="0"/>
            </w:rPr>
            <w:t xml:space="preserve">Docket No. </w:t>
          </w:r>
          <w:r w:rsidRPr="00001EAD">
            <w:rPr>
              <w:b w:val="0"/>
            </w:rPr>
            <w:fldChar w:fldCharType="begin"/>
          </w:r>
          <w:r w:rsidRPr="00001EAD">
            <w:rPr>
              <w:b w:val="0"/>
            </w:rPr>
            <w:instrText xml:space="preserve">ref docknum \* MERGEFORMAT </w:instrText>
          </w:r>
          <w:r w:rsidRPr="00001EAD">
            <w:rPr>
              <w:b w:val="0"/>
            </w:rPr>
            <w:fldChar w:fldCharType="separate"/>
          </w:r>
          <w:r w:rsidR="00147B63" w:rsidRPr="00147B63">
            <w:rPr>
              <w:b w:val="0"/>
            </w:rPr>
            <w:t>18-06-02</w:t>
          </w:r>
          <w:r w:rsidRPr="00001EAD">
            <w:rPr>
              <w:b w:val="0"/>
            </w:rPr>
            <w:fldChar w:fldCharType="end"/>
          </w:r>
          <w:bookmarkStart w:id="35" w:name="cover"/>
        </w:p>
      </w:tc>
      <w:tc>
        <w:tcPr>
          <w:tcW w:w="3712" w:type="dxa"/>
        </w:tcPr>
        <w:p w:rsidR="00E06CFA" w:rsidRDefault="00E06CFA">
          <w:pPr>
            <w:pStyle w:val="Header"/>
            <w:jc w:val="right"/>
            <w:rPr>
              <w:b w:val="0"/>
            </w:rPr>
          </w:pPr>
        </w:p>
      </w:tc>
      <w:tc>
        <w:tcPr>
          <w:tcW w:w="2851" w:type="dxa"/>
        </w:tcPr>
        <w:p w:rsidR="00E06CFA" w:rsidRDefault="00E06CFA">
          <w:pPr>
            <w:pStyle w:val="Footer"/>
            <w:jc w:val="right"/>
            <w:rPr>
              <w:sz w:val="24"/>
            </w:rPr>
          </w:pPr>
          <w:r>
            <w:rPr>
              <w:sz w:val="24"/>
            </w:rPr>
            <w:t xml:space="preserve">Page </w:t>
          </w:r>
          <w:r>
            <w:rPr>
              <w:sz w:val="24"/>
            </w:rPr>
            <w:fldChar w:fldCharType="begin"/>
          </w:r>
          <w:r>
            <w:rPr>
              <w:sz w:val="24"/>
            </w:rPr>
            <w:instrText>PAGE</w:instrText>
          </w:r>
          <w:r>
            <w:rPr>
              <w:sz w:val="24"/>
            </w:rPr>
            <w:fldChar w:fldCharType="separate"/>
          </w:r>
          <w:r w:rsidR="00831060">
            <w:rPr>
              <w:noProof/>
              <w:sz w:val="24"/>
            </w:rPr>
            <w:t>14</w:t>
          </w:r>
          <w:r>
            <w:rPr>
              <w:sz w:val="24"/>
            </w:rPr>
            <w:fldChar w:fldCharType="end"/>
          </w:r>
        </w:p>
      </w:tc>
    </w:tr>
    <w:bookmarkEnd w:id="35"/>
  </w:tbl>
  <w:p w:rsidR="00E06CFA" w:rsidRDefault="00E06C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120"/>
      <w:gridCol w:w="3712"/>
      <w:gridCol w:w="2851"/>
    </w:tblGrid>
    <w:tr w:rsidR="00E06CFA">
      <w:trPr>
        <w:cantSplit/>
      </w:trPr>
      <w:tc>
        <w:tcPr>
          <w:tcW w:w="3120" w:type="dxa"/>
        </w:tcPr>
        <w:p w:rsidR="00E06CFA" w:rsidRDefault="00E06CFA">
          <w:pPr>
            <w:pStyle w:val="Header"/>
            <w:rPr>
              <w:b w:val="0"/>
            </w:rPr>
          </w:pPr>
        </w:p>
      </w:tc>
      <w:tc>
        <w:tcPr>
          <w:tcW w:w="3712" w:type="dxa"/>
        </w:tcPr>
        <w:p w:rsidR="00E06CFA" w:rsidRDefault="00E06CFA">
          <w:pPr>
            <w:pStyle w:val="Header"/>
            <w:jc w:val="right"/>
            <w:rPr>
              <w:b w:val="0"/>
            </w:rPr>
          </w:pPr>
        </w:p>
      </w:tc>
      <w:tc>
        <w:tcPr>
          <w:tcW w:w="2851" w:type="dxa"/>
        </w:tcPr>
        <w:p w:rsidR="00E06CFA" w:rsidRDefault="00E06CFA">
          <w:pPr>
            <w:pStyle w:val="Footer"/>
            <w:jc w:val="right"/>
            <w:rPr>
              <w:sz w:val="24"/>
            </w:rPr>
          </w:pPr>
        </w:p>
      </w:tc>
    </w:tr>
  </w:tbl>
  <w:p w:rsidR="00E06CFA" w:rsidRDefault="00E06CF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CFA" w:rsidRDefault="00E06CF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CFA" w:rsidRPr="003D6CC5" w:rsidRDefault="00E06CFA" w:rsidP="003D6CC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CFA" w:rsidRDefault="00E06C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20AC"/>
    <w:multiLevelType w:val="singleLevel"/>
    <w:tmpl w:val="EEA84F78"/>
    <w:lvl w:ilvl="0">
      <w:start w:val="1"/>
      <w:numFmt w:val="upperLetter"/>
      <w:lvlText w:val="%1."/>
      <w:lvlJc w:val="left"/>
      <w:pPr>
        <w:tabs>
          <w:tab w:val="num" w:pos="360"/>
        </w:tabs>
        <w:ind w:left="360" w:hanging="360"/>
      </w:pPr>
      <w:rPr>
        <w:rFonts w:hint="default"/>
      </w:rPr>
    </w:lvl>
  </w:abstractNum>
  <w:abstractNum w:abstractNumId="1">
    <w:nsid w:val="02801DF5"/>
    <w:multiLevelType w:val="hybridMultilevel"/>
    <w:tmpl w:val="CEDA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9E28D0"/>
    <w:multiLevelType w:val="hybridMultilevel"/>
    <w:tmpl w:val="BE94D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27248B"/>
    <w:multiLevelType w:val="hybridMultilevel"/>
    <w:tmpl w:val="4B883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F927EB"/>
    <w:multiLevelType w:val="hybridMultilevel"/>
    <w:tmpl w:val="5D564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546C98"/>
    <w:multiLevelType w:val="hybridMultilevel"/>
    <w:tmpl w:val="86ECAB5E"/>
    <w:lvl w:ilvl="0" w:tplc="1B40A916">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nsid w:val="2E1A592D"/>
    <w:multiLevelType w:val="multilevel"/>
    <w:tmpl w:val="F6F49A0A"/>
    <w:styleLink w:val="CurrentList1"/>
    <w:lvl w:ilvl="0">
      <w:start w:val="1"/>
      <w:numFmt w:val="upperRoman"/>
      <w:lvlText w:val="%1."/>
      <w:lvlJc w:val="right"/>
      <w:pPr>
        <w:tabs>
          <w:tab w:val="num" w:pos="720"/>
        </w:tabs>
        <w:ind w:left="720" w:hanging="180"/>
      </w:pPr>
    </w:lvl>
    <w:lvl w:ilvl="1">
      <w:start w:val="1"/>
      <w:numFmt w:val="upperLetter"/>
      <w:lvlText w:val="%2."/>
      <w:lvlJc w:val="left"/>
      <w:pPr>
        <w:tabs>
          <w:tab w:val="num" w:pos="1440"/>
        </w:tabs>
        <w:ind w:left="1440" w:hanging="360"/>
      </w:pPr>
      <w:rPr>
        <w:rFonts w:hint="default"/>
      </w:rPr>
    </w:lvl>
    <w:lvl w:ilvl="2">
      <w:start w:val="1"/>
      <w:numFmt w:val="decimal"/>
      <w:lvlText w:val="%3."/>
      <w:lvlJc w:val="left"/>
      <w:pPr>
        <w:tabs>
          <w:tab w:val="num" w:pos="0"/>
        </w:tabs>
        <w:ind w:left="72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CB9479D"/>
    <w:multiLevelType w:val="hybridMultilevel"/>
    <w:tmpl w:val="4C560C5C"/>
    <w:lvl w:ilvl="0" w:tplc="092C506A">
      <w:start w:val="1"/>
      <w:numFmt w:val="upperRoman"/>
      <w:lvlText w:val="%1."/>
      <w:lvlJc w:val="right"/>
      <w:pPr>
        <w:tabs>
          <w:tab w:val="num" w:pos="720"/>
        </w:tabs>
        <w:ind w:left="720" w:hanging="180"/>
      </w:pPr>
    </w:lvl>
    <w:lvl w:ilvl="1" w:tplc="DA3CCFB6">
      <w:start w:val="1"/>
      <w:numFmt w:val="upperLetter"/>
      <w:lvlText w:val="%2."/>
      <w:lvlJc w:val="left"/>
      <w:pPr>
        <w:tabs>
          <w:tab w:val="num" w:pos="1440"/>
        </w:tabs>
        <w:ind w:left="1440" w:hanging="360"/>
      </w:pPr>
      <w:rPr>
        <w:rFonts w:hint="default"/>
      </w:rPr>
    </w:lvl>
    <w:lvl w:ilvl="2" w:tplc="31FCE788">
      <w:start w:val="1"/>
      <w:numFmt w:val="decimal"/>
      <w:lvlText w:val="%3."/>
      <w:lvlJc w:val="left"/>
      <w:pPr>
        <w:tabs>
          <w:tab w:val="num" w:pos="0"/>
        </w:tabs>
        <w:ind w:left="72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E777CEF"/>
    <w:multiLevelType w:val="hybridMultilevel"/>
    <w:tmpl w:val="0636A87A"/>
    <w:lvl w:ilvl="0" w:tplc="0409000F">
      <w:start w:val="1"/>
      <w:numFmt w:val="decimal"/>
      <w:lvlText w:val="%1."/>
      <w:lvlJc w:val="left"/>
      <w:pPr>
        <w:ind w:left="720" w:hanging="360"/>
      </w:pPr>
    </w:lvl>
    <w:lvl w:ilvl="1" w:tplc="C1B4B9F8">
      <w:numFmt w:val="bullet"/>
      <w:lvlText w:val="•"/>
      <w:lvlJc w:val="left"/>
      <w:pPr>
        <w:ind w:left="1800" w:hanging="72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FE3E96"/>
    <w:multiLevelType w:val="hybridMultilevel"/>
    <w:tmpl w:val="81FC0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DE4430"/>
    <w:multiLevelType w:val="multilevel"/>
    <w:tmpl w:val="1E680454"/>
    <w:styleLink w:val="Decision"/>
    <w:lvl w:ilvl="0">
      <w:start w:val="1"/>
      <w:numFmt w:val="upperRoman"/>
      <w:pStyle w:val="Heading1"/>
      <w:lvlText w:val="%1."/>
      <w:lvlJc w:val="left"/>
      <w:pPr>
        <w:tabs>
          <w:tab w:val="num" w:pos="360"/>
        </w:tabs>
        <w:ind w:left="0" w:firstLine="0"/>
      </w:pPr>
      <w:rPr>
        <w:rFonts w:hint="default"/>
        <w:sz w:val="24"/>
      </w:rPr>
    </w:lvl>
    <w:lvl w:ilvl="1">
      <w:start w:val="1"/>
      <w:numFmt w:val="upperLetter"/>
      <w:pStyle w:val="Heading2"/>
      <w:lvlText w:val="%2."/>
      <w:lvlJc w:val="left"/>
      <w:pPr>
        <w:tabs>
          <w:tab w:val="num" w:pos="1080"/>
        </w:tabs>
        <w:ind w:left="720" w:hanging="72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lowerRoman"/>
      <w:pStyle w:val="Heading5"/>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nsid w:val="51B95D4B"/>
    <w:multiLevelType w:val="hybridMultilevel"/>
    <w:tmpl w:val="0ABE7368"/>
    <w:lvl w:ilvl="0" w:tplc="BA7E24B6">
      <w:start w:val="1"/>
      <w:numFmt w:val="lowerRoman"/>
      <w:lvlText w:val="%1."/>
      <w:lvlJc w:val="righ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2">
    <w:nsid w:val="60DA472B"/>
    <w:multiLevelType w:val="hybridMultilevel"/>
    <w:tmpl w:val="D1A65EAA"/>
    <w:lvl w:ilvl="0" w:tplc="78A828D4">
      <w:start w:val="1"/>
      <w:numFmt w:val="lowerLetter"/>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0"/>
  </w:num>
  <w:num w:numId="2">
    <w:abstractNumId w:val="7"/>
  </w:num>
  <w:num w:numId="3">
    <w:abstractNumId w:val="7"/>
  </w:num>
  <w:num w:numId="4">
    <w:abstractNumId w:val="5"/>
  </w:num>
  <w:num w:numId="5">
    <w:abstractNumId w:val="12"/>
  </w:num>
  <w:num w:numId="6">
    <w:abstractNumId w:val="11"/>
  </w:num>
  <w:num w:numId="7">
    <w:abstractNumId w:val="6"/>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6"/>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6"/>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9"/>
  </w:num>
  <w:num w:numId="29">
    <w:abstractNumId w:val="10"/>
    <w:lvlOverride w:ilvl="1">
      <w:lvl w:ilvl="1">
        <w:start w:val="1"/>
        <w:numFmt w:val="upperLetter"/>
        <w:pStyle w:val="Heading2"/>
        <w:lvlText w:val="%2."/>
        <w:lvlJc w:val="left"/>
        <w:pPr>
          <w:tabs>
            <w:tab w:val="num" w:pos="1080"/>
          </w:tabs>
          <w:ind w:left="720" w:hanging="720"/>
        </w:pPr>
        <w:rPr>
          <w:rFonts w:hint="default"/>
          <w:color w:val="auto"/>
        </w:rPr>
      </w:lvl>
    </w:lvlOverride>
  </w:num>
  <w:num w:numId="30">
    <w:abstractNumId w:val="2"/>
  </w:num>
  <w:num w:numId="31">
    <w:abstractNumId w:val="4"/>
  </w:num>
  <w:num w:numId="32">
    <w:abstractNumId w:val="3"/>
  </w:num>
  <w:num w:numId="33">
    <w:abstractNumId w:val="8"/>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B41"/>
    <w:rsid w:val="00000234"/>
    <w:rsid w:val="00001EAD"/>
    <w:rsid w:val="00002DD1"/>
    <w:rsid w:val="00010C25"/>
    <w:rsid w:val="00030A28"/>
    <w:rsid w:val="00042167"/>
    <w:rsid w:val="000428D1"/>
    <w:rsid w:val="00063550"/>
    <w:rsid w:val="00064391"/>
    <w:rsid w:val="000774C6"/>
    <w:rsid w:val="00081BA5"/>
    <w:rsid w:val="00094D3F"/>
    <w:rsid w:val="000C4350"/>
    <w:rsid w:val="000C6C8D"/>
    <w:rsid w:val="000C706D"/>
    <w:rsid w:val="000D236C"/>
    <w:rsid w:val="000D7E82"/>
    <w:rsid w:val="000F3B41"/>
    <w:rsid w:val="00100615"/>
    <w:rsid w:val="00101B97"/>
    <w:rsid w:val="001056D2"/>
    <w:rsid w:val="00106605"/>
    <w:rsid w:val="00131AE3"/>
    <w:rsid w:val="00134F12"/>
    <w:rsid w:val="0013522B"/>
    <w:rsid w:val="001469EF"/>
    <w:rsid w:val="00147B63"/>
    <w:rsid w:val="00155098"/>
    <w:rsid w:val="00161A1A"/>
    <w:rsid w:val="00162342"/>
    <w:rsid w:val="00165F26"/>
    <w:rsid w:val="00176C1B"/>
    <w:rsid w:val="00177141"/>
    <w:rsid w:val="0018178E"/>
    <w:rsid w:val="00186086"/>
    <w:rsid w:val="001867FE"/>
    <w:rsid w:val="00193243"/>
    <w:rsid w:val="001A4E0D"/>
    <w:rsid w:val="001C2738"/>
    <w:rsid w:val="001D4B10"/>
    <w:rsid w:val="001D640C"/>
    <w:rsid w:val="001E0230"/>
    <w:rsid w:val="001E0540"/>
    <w:rsid w:val="001E2DA0"/>
    <w:rsid w:val="001F587C"/>
    <w:rsid w:val="002069A2"/>
    <w:rsid w:val="002100C9"/>
    <w:rsid w:val="00236D5C"/>
    <w:rsid w:val="00264DFA"/>
    <w:rsid w:val="002758EE"/>
    <w:rsid w:val="00281B7F"/>
    <w:rsid w:val="0029261F"/>
    <w:rsid w:val="002B5A51"/>
    <w:rsid w:val="002B7D83"/>
    <w:rsid w:val="002E24B8"/>
    <w:rsid w:val="002E2979"/>
    <w:rsid w:val="00310472"/>
    <w:rsid w:val="00313137"/>
    <w:rsid w:val="00320ADA"/>
    <w:rsid w:val="00321B5E"/>
    <w:rsid w:val="0033021D"/>
    <w:rsid w:val="00342754"/>
    <w:rsid w:val="0034309B"/>
    <w:rsid w:val="00361E7C"/>
    <w:rsid w:val="00363DC8"/>
    <w:rsid w:val="0037146A"/>
    <w:rsid w:val="00372E42"/>
    <w:rsid w:val="00392CD6"/>
    <w:rsid w:val="003A7E5A"/>
    <w:rsid w:val="003B2641"/>
    <w:rsid w:val="003B4B35"/>
    <w:rsid w:val="003C40C8"/>
    <w:rsid w:val="003D6CC5"/>
    <w:rsid w:val="003F11C0"/>
    <w:rsid w:val="003F6173"/>
    <w:rsid w:val="004035F2"/>
    <w:rsid w:val="00424B63"/>
    <w:rsid w:val="00426CFC"/>
    <w:rsid w:val="004456AF"/>
    <w:rsid w:val="004545BD"/>
    <w:rsid w:val="00474ED6"/>
    <w:rsid w:val="00477C63"/>
    <w:rsid w:val="004934DD"/>
    <w:rsid w:val="004A2E41"/>
    <w:rsid w:val="004A5D1B"/>
    <w:rsid w:val="004B10F5"/>
    <w:rsid w:val="004C4E09"/>
    <w:rsid w:val="004C72F8"/>
    <w:rsid w:val="004E2334"/>
    <w:rsid w:val="004F0C4E"/>
    <w:rsid w:val="004F276C"/>
    <w:rsid w:val="004F6609"/>
    <w:rsid w:val="00504449"/>
    <w:rsid w:val="00511976"/>
    <w:rsid w:val="00520ED1"/>
    <w:rsid w:val="00521767"/>
    <w:rsid w:val="00522317"/>
    <w:rsid w:val="0052405F"/>
    <w:rsid w:val="005303FF"/>
    <w:rsid w:val="00530810"/>
    <w:rsid w:val="00536A6F"/>
    <w:rsid w:val="00546CFE"/>
    <w:rsid w:val="0055289F"/>
    <w:rsid w:val="00560101"/>
    <w:rsid w:val="0056526C"/>
    <w:rsid w:val="00572E81"/>
    <w:rsid w:val="00577E1F"/>
    <w:rsid w:val="005812E6"/>
    <w:rsid w:val="00584ACC"/>
    <w:rsid w:val="005A35AF"/>
    <w:rsid w:val="005A56F1"/>
    <w:rsid w:val="005B2821"/>
    <w:rsid w:val="005B40CD"/>
    <w:rsid w:val="005D2B4D"/>
    <w:rsid w:val="005F126C"/>
    <w:rsid w:val="005F66D2"/>
    <w:rsid w:val="005F7F8A"/>
    <w:rsid w:val="00600D66"/>
    <w:rsid w:val="00601882"/>
    <w:rsid w:val="0062370A"/>
    <w:rsid w:val="00640710"/>
    <w:rsid w:val="0064190C"/>
    <w:rsid w:val="00647B90"/>
    <w:rsid w:val="00652540"/>
    <w:rsid w:val="0067159D"/>
    <w:rsid w:val="006826A9"/>
    <w:rsid w:val="006845D4"/>
    <w:rsid w:val="006A359E"/>
    <w:rsid w:val="006A7787"/>
    <w:rsid w:val="006B4278"/>
    <w:rsid w:val="006C23F0"/>
    <w:rsid w:val="006D5008"/>
    <w:rsid w:val="006F2447"/>
    <w:rsid w:val="006F7A4F"/>
    <w:rsid w:val="007022B1"/>
    <w:rsid w:val="00707F3B"/>
    <w:rsid w:val="00717CB4"/>
    <w:rsid w:val="0072509F"/>
    <w:rsid w:val="0072716D"/>
    <w:rsid w:val="00731C71"/>
    <w:rsid w:val="00733E56"/>
    <w:rsid w:val="00762103"/>
    <w:rsid w:val="00774F57"/>
    <w:rsid w:val="007754DC"/>
    <w:rsid w:val="00783407"/>
    <w:rsid w:val="00790523"/>
    <w:rsid w:val="00791846"/>
    <w:rsid w:val="007953A4"/>
    <w:rsid w:val="007C1400"/>
    <w:rsid w:val="007C1856"/>
    <w:rsid w:val="007D122C"/>
    <w:rsid w:val="007D3BCC"/>
    <w:rsid w:val="007D7775"/>
    <w:rsid w:val="00800770"/>
    <w:rsid w:val="008023DA"/>
    <w:rsid w:val="00804734"/>
    <w:rsid w:val="008056B1"/>
    <w:rsid w:val="00811F6B"/>
    <w:rsid w:val="008215BD"/>
    <w:rsid w:val="00831060"/>
    <w:rsid w:val="008558EE"/>
    <w:rsid w:val="0085638F"/>
    <w:rsid w:val="00867840"/>
    <w:rsid w:val="00874205"/>
    <w:rsid w:val="00884161"/>
    <w:rsid w:val="00887DBE"/>
    <w:rsid w:val="0089716E"/>
    <w:rsid w:val="008B472E"/>
    <w:rsid w:val="008C3066"/>
    <w:rsid w:val="008F0D2D"/>
    <w:rsid w:val="008F56E1"/>
    <w:rsid w:val="008F5BDC"/>
    <w:rsid w:val="008F7A2A"/>
    <w:rsid w:val="008F7F47"/>
    <w:rsid w:val="00906FB0"/>
    <w:rsid w:val="00910219"/>
    <w:rsid w:val="00931035"/>
    <w:rsid w:val="0093565D"/>
    <w:rsid w:val="009675D0"/>
    <w:rsid w:val="00977B21"/>
    <w:rsid w:val="00980933"/>
    <w:rsid w:val="009B2FEA"/>
    <w:rsid w:val="009D4ACB"/>
    <w:rsid w:val="009F010E"/>
    <w:rsid w:val="00A02D6C"/>
    <w:rsid w:val="00A04C7A"/>
    <w:rsid w:val="00A167D5"/>
    <w:rsid w:val="00A1730D"/>
    <w:rsid w:val="00A27CD0"/>
    <w:rsid w:val="00A421B8"/>
    <w:rsid w:val="00A43153"/>
    <w:rsid w:val="00A45F17"/>
    <w:rsid w:val="00A50073"/>
    <w:rsid w:val="00A504F8"/>
    <w:rsid w:val="00A5617F"/>
    <w:rsid w:val="00A7626F"/>
    <w:rsid w:val="00A80DBD"/>
    <w:rsid w:val="00A83CD9"/>
    <w:rsid w:val="00A94224"/>
    <w:rsid w:val="00A95771"/>
    <w:rsid w:val="00AE2E06"/>
    <w:rsid w:val="00AF64D2"/>
    <w:rsid w:val="00B001D8"/>
    <w:rsid w:val="00B110AD"/>
    <w:rsid w:val="00B14684"/>
    <w:rsid w:val="00B21ECD"/>
    <w:rsid w:val="00B43A9F"/>
    <w:rsid w:val="00B5782F"/>
    <w:rsid w:val="00B7025A"/>
    <w:rsid w:val="00B7287E"/>
    <w:rsid w:val="00B96742"/>
    <w:rsid w:val="00B977B0"/>
    <w:rsid w:val="00BC52FD"/>
    <w:rsid w:val="00BD6672"/>
    <w:rsid w:val="00BE7457"/>
    <w:rsid w:val="00C06A6F"/>
    <w:rsid w:val="00C219E6"/>
    <w:rsid w:val="00C25042"/>
    <w:rsid w:val="00C25F80"/>
    <w:rsid w:val="00C45E40"/>
    <w:rsid w:val="00C5434C"/>
    <w:rsid w:val="00C5713F"/>
    <w:rsid w:val="00CB3ACD"/>
    <w:rsid w:val="00CB41BB"/>
    <w:rsid w:val="00CB6625"/>
    <w:rsid w:val="00CC6DAE"/>
    <w:rsid w:val="00CD4C0F"/>
    <w:rsid w:val="00CE4735"/>
    <w:rsid w:val="00CF3BDE"/>
    <w:rsid w:val="00D02002"/>
    <w:rsid w:val="00D13167"/>
    <w:rsid w:val="00D206C5"/>
    <w:rsid w:val="00D47359"/>
    <w:rsid w:val="00D4771F"/>
    <w:rsid w:val="00D7470A"/>
    <w:rsid w:val="00D76B7B"/>
    <w:rsid w:val="00D91DE0"/>
    <w:rsid w:val="00DA433D"/>
    <w:rsid w:val="00DB2884"/>
    <w:rsid w:val="00DC6215"/>
    <w:rsid w:val="00DC7118"/>
    <w:rsid w:val="00DD5811"/>
    <w:rsid w:val="00DE5939"/>
    <w:rsid w:val="00DF5075"/>
    <w:rsid w:val="00E06CFA"/>
    <w:rsid w:val="00E169DC"/>
    <w:rsid w:val="00E270F3"/>
    <w:rsid w:val="00E30467"/>
    <w:rsid w:val="00E34E9D"/>
    <w:rsid w:val="00E41768"/>
    <w:rsid w:val="00E61D3E"/>
    <w:rsid w:val="00EA66E4"/>
    <w:rsid w:val="00EB6C84"/>
    <w:rsid w:val="00EB7B5E"/>
    <w:rsid w:val="00EC4C98"/>
    <w:rsid w:val="00EC63E8"/>
    <w:rsid w:val="00ED0B41"/>
    <w:rsid w:val="00ED6378"/>
    <w:rsid w:val="00F06588"/>
    <w:rsid w:val="00F251C1"/>
    <w:rsid w:val="00F466F7"/>
    <w:rsid w:val="00F53DA1"/>
    <w:rsid w:val="00F570CD"/>
    <w:rsid w:val="00F6338F"/>
    <w:rsid w:val="00F71FCC"/>
    <w:rsid w:val="00F83C46"/>
    <w:rsid w:val="00F90944"/>
    <w:rsid w:val="00FB14E8"/>
    <w:rsid w:val="00FF2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C98"/>
    <w:pPr>
      <w:jc w:val="both"/>
    </w:pPr>
    <w:rPr>
      <w:rFonts w:ascii="Arial" w:hAnsi="Arial"/>
      <w:sz w:val="24"/>
    </w:rPr>
  </w:style>
  <w:style w:type="paragraph" w:styleId="Heading1">
    <w:name w:val="heading 1"/>
    <w:basedOn w:val="Normal"/>
    <w:next w:val="Normal"/>
    <w:qFormat/>
    <w:rsid w:val="00392CD6"/>
    <w:pPr>
      <w:numPr>
        <w:numId w:val="27"/>
      </w:numPr>
      <w:tabs>
        <w:tab w:val="clear" w:pos="360"/>
        <w:tab w:val="left" w:pos="720"/>
      </w:tabs>
      <w:outlineLvl w:val="0"/>
    </w:pPr>
    <w:rPr>
      <w:b/>
      <w:caps/>
    </w:rPr>
  </w:style>
  <w:style w:type="paragraph" w:styleId="Heading2">
    <w:name w:val="heading 2"/>
    <w:basedOn w:val="Normal"/>
    <w:next w:val="Normal"/>
    <w:qFormat/>
    <w:rsid w:val="00392CD6"/>
    <w:pPr>
      <w:numPr>
        <w:ilvl w:val="1"/>
        <w:numId w:val="27"/>
      </w:numPr>
      <w:tabs>
        <w:tab w:val="clear" w:pos="1080"/>
        <w:tab w:val="left" w:pos="720"/>
      </w:tabs>
      <w:outlineLvl w:val="1"/>
    </w:pPr>
    <w:rPr>
      <w:b/>
      <w:smallCaps/>
    </w:rPr>
  </w:style>
  <w:style w:type="paragraph" w:styleId="Heading3">
    <w:name w:val="heading 3"/>
    <w:basedOn w:val="Normal"/>
    <w:next w:val="Normal"/>
    <w:qFormat/>
    <w:rsid w:val="00392CD6"/>
    <w:pPr>
      <w:numPr>
        <w:ilvl w:val="2"/>
        <w:numId w:val="27"/>
      </w:numPr>
      <w:tabs>
        <w:tab w:val="clear" w:pos="1800"/>
        <w:tab w:val="left" w:pos="720"/>
      </w:tabs>
      <w:ind w:left="720"/>
      <w:outlineLvl w:val="2"/>
    </w:pPr>
    <w:rPr>
      <w:b/>
    </w:rPr>
  </w:style>
  <w:style w:type="paragraph" w:styleId="Heading4">
    <w:name w:val="heading 4"/>
    <w:basedOn w:val="Normal"/>
    <w:next w:val="Normal"/>
    <w:qFormat/>
    <w:rsid w:val="00392CD6"/>
    <w:pPr>
      <w:numPr>
        <w:ilvl w:val="3"/>
        <w:numId w:val="27"/>
      </w:numPr>
      <w:tabs>
        <w:tab w:val="clear" w:pos="2520"/>
        <w:tab w:val="left" w:pos="720"/>
      </w:tabs>
      <w:ind w:left="1440"/>
      <w:outlineLvl w:val="3"/>
    </w:pPr>
    <w:rPr>
      <w:b/>
    </w:rPr>
  </w:style>
  <w:style w:type="paragraph" w:styleId="Heading5">
    <w:name w:val="heading 5"/>
    <w:basedOn w:val="Normal"/>
    <w:next w:val="Normal"/>
    <w:qFormat/>
    <w:rsid w:val="00392CD6"/>
    <w:pPr>
      <w:numPr>
        <w:ilvl w:val="4"/>
        <w:numId w:val="27"/>
      </w:numPr>
      <w:tabs>
        <w:tab w:val="clear" w:pos="3240"/>
        <w:tab w:val="left" w:pos="720"/>
      </w:tabs>
      <w:ind w:left="2160"/>
      <w:outlineLvl w:val="4"/>
    </w:pPr>
    <w:rPr>
      <w:b/>
    </w:rPr>
  </w:style>
  <w:style w:type="paragraph" w:styleId="Heading6">
    <w:name w:val="heading 6"/>
    <w:basedOn w:val="Normal"/>
    <w:next w:val="Normal"/>
    <w:qFormat/>
    <w:rsid w:val="00EC4C98"/>
    <w:pPr>
      <w:ind w:left="1440"/>
      <w:outlineLvl w:val="5"/>
    </w:pPr>
    <w:rPr>
      <w:b/>
    </w:rPr>
  </w:style>
  <w:style w:type="paragraph" w:styleId="Heading7">
    <w:name w:val="heading 7"/>
    <w:basedOn w:val="Normal"/>
    <w:next w:val="Normal"/>
    <w:qFormat/>
    <w:rsid w:val="00EC4C98"/>
    <w:pPr>
      <w:ind w:left="1440"/>
      <w:outlineLvl w:val="6"/>
    </w:pPr>
    <w:rPr>
      <w:b/>
    </w:rPr>
  </w:style>
  <w:style w:type="paragraph" w:styleId="Heading8">
    <w:name w:val="heading 8"/>
    <w:basedOn w:val="Normal"/>
    <w:next w:val="Normal"/>
    <w:qFormat/>
    <w:rsid w:val="00EC4C98"/>
    <w:pPr>
      <w:ind w:left="1440"/>
      <w:outlineLvl w:val="7"/>
    </w:pPr>
    <w:rPr>
      <w:b/>
    </w:rPr>
  </w:style>
  <w:style w:type="paragraph" w:styleId="Heading9">
    <w:name w:val="heading 9"/>
    <w:basedOn w:val="Normal"/>
    <w:next w:val="NormalIndent"/>
    <w:qFormat/>
    <w:rsid w:val="00EC4C98"/>
    <w:pPr>
      <w:ind w:left="14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CommentReference">
    <w:name w:val="annotation reference"/>
    <w:semiHidden/>
    <w:rsid w:val="00EC4C98"/>
    <w:rPr>
      <w:sz w:val="16"/>
    </w:rPr>
  </w:style>
  <w:style w:type="paragraph" w:styleId="CommentText">
    <w:name w:val="annotation text"/>
    <w:basedOn w:val="Normal"/>
    <w:link w:val="CommentTextChar"/>
    <w:semiHidden/>
    <w:rsid w:val="00EC4C98"/>
    <w:rPr>
      <w:sz w:val="20"/>
    </w:rPr>
  </w:style>
  <w:style w:type="paragraph" w:styleId="TOC8">
    <w:name w:val="toc 8"/>
    <w:basedOn w:val="Normal"/>
    <w:next w:val="Normal"/>
    <w:semiHidden/>
    <w:rsid w:val="00EC4C98"/>
    <w:pPr>
      <w:tabs>
        <w:tab w:val="decimal" w:leader="dot" w:pos="9360"/>
      </w:tabs>
      <w:ind w:left="864"/>
    </w:pPr>
  </w:style>
  <w:style w:type="paragraph" w:styleId="TOC7">
    <w:name w:val="toc 7"/>
    <w:basedOn w:val="Normal"/>
    <w:next w:val="Normal"/>
    <w:semiHidden/>
    <w:rsid w:val="00EC4C98"/>
    <w:pPr>
      <w:tabs>
        <w:tab w:val="decimal" w:leader="dot" w:pos="9360"/>
      </w:tabs>
      <w:ind w:left="864"/>
    </w:pPr>
  </w:style>
  <w:style w:type="paragraph" w:styleId="TOC6">
    <w:name w:val="toc 6"/>
    <w:basedOn w:val="Normal"/>
    <w:next w:val="Normal"/>
    <w:semiHidden/>
    <w:rsid w:val="00EC4C98"/>
    <w:pPr>
      <w:tabs>
        <w:tab w:val="decimal" w:leader="dot" w:pos="9360"/>
      </w:tabs>
      <w:ind w:left="864"/>
    </w:pPr>
  </w:style>
  <w:style w:type="paragraph" w:styleId="TOC5">
    <w:name w:val="toc 5"/>
    <w:basedOn w:val="Normal"/>
    <w:next w:val="Normal"/>
    <w:semiHidden/>
    <w:rsid w:val="00EC4C98"/>
    <w:pPr>
      <w:tabs>
        <w:tab w:val="left" w:pos="2160"/>
        <w:tab w:val="decimal" w:leader="dot" w:pos="9360"/>
      </w:tabs>
      <w:ind w:left="1728"/>
    </w:pPr>
    <w:rPr>
      <w:b/>
    </w:rPr>
  </w:style>
  <w:style w:type="paragraph" w:styleId="TOC4">
    <w:name w:val="toc 4"/>
    <w:basedOn w:val="Normal"/>
    <w:next w:val="Normal"/>
    <w:semiHidden/>
    <w:rsid w:val="00EC4C98"/>
    <w:pPr>
      <w:tabs>
        <w:tab w:val="left" w:pos="1728"/>
        <w:tab w:val="decimal" w:leader="dot" w:pos="9360"/>
      </w:tabs>
      <w:ind w:left="1296"/>
    </w:pPr>
    <w:rPr>
      <w:b/>
    </w:rPr>
  </w:style>
  <w:style w:type="paragraph" w:styleId="TOC3">
    <w:name w:val="toc 3"/>
    <w:basedOn w:val="Normal"/>
    <w:next w:val="Normal"/>
    <w:semiHidden/>
    <w:rsid w:val="00EC4C98"/>
    <w:pPr>
      <w:tabs>
        <w:tab w:val="left" w:pos="1296"/>
        <w:tab w:val="decimal" w:leader="dot" w:pos="9360"/>
      </w:tabs>
      <w:ind w:left="864"/>
    </w:pPr>
    <w:rPr>
      <w:b/>
    </w:rPr>
  </w:style>
  <w:style w:type="paragraph" w:styleId="TOC2">
    <w:name w:val="toc 2"/>
    <w:basedOn w:val="Normal"/>
    <w:next w:val="Normal"/>
    <w:uiPriority w:val="39"/>
    <w:rsid w:val="00EC4C98"/>
    <w:pPr>
      <w:tabs>
        <w:tab w:val="left" w:pos="864"/>
        <w:tab w:val="decimal" w:leader="dot" w:pos="9360"/>
      </w:tabs>
      <w:ind w:left="432"/>
    </w:pPr>
    <w:rPr>
      <w:b/>
      <w:smallCaps/>
    </w:rPr>
  </w:style>
  <w:style w:type="paragraph" w:styleId="TOC1">
    <w:name w:val="toc 1"/>
    <w:basedOn w:val="Normal"/>
    <w:next w:val="Normal"/>
    <w:uiPriority w:val="39"/>
    <w:rsid w:val="00EC4C98"/>
    <w:pPr>
      <w:tabs>
        <w:tab w:val="left" w:pos="432"/>
        <w:tab w:val="decimal" w:leader="dot" w:pos="9360"/>
      </w:tabs>
      <w:spacing w:before="240"/>
    </w:pPr>
    <w:rPr>
      <w:b/>
      <w:caps/>
    </w:rPr>
  </w:style>
  <w:style w:type="paragraph" w:styleId="Index7">
    <w:name w:val="index 7"/>
    <w:basedOn w:val="Normal"/>
    <w:next w:val="Normal"/>
    <w:semiHidden/>
    <w:rsid w:val="00EC4C98"/>
    <w:pPr>
      <w:ind w:left="2160"/>
    </w:pPr>
  </w:style>
  <w:style w:type="paragraph" w:styleId="Index6">
    <w:name w:val="index 6"/>
    <w:basedOn w:val="Normal"/>
    <w:next w:val="Normal"/>
    <w:semiHidden/>
    <w:rsid w:val="00EC4C98"/>
    <w:pPr>
      <w:ind w:left="1800"/>
    </w:pPr>
  </w:style>
  <w:style w:type="paragraph" w:styleId="Index5">
    <w:name w:val="index 5"/>
    <w:basedOn w:val="Normal"/>
    <w:next w:val="Normal"/>
    <w:semiHidden/>
    <w:rsid w:val="00EC4C98"/>
    <w:pPr>
      <w:ind w:left="1440"/>
    </w:pPr>
  </w:style>
  <w:style w:type="paragraph" w:styleId="Index4">
    <w:name w:val="index 4"/>
    <w:basedOn w:val="Normal"/>
    <w:next w:val="Normal"/>
    <w:semiHidden/>
    <w:rsid w:val="00EC4C98"/>
    <w:pPr>
      <w:ind w:left="1080"/>
    </w:pPr>
  </w:style>
  <w:style w:type="paragraph" w:styleId="Index3">
    <w:name w:val="index 3"/>
    <w:basedOn w:val="Normal"/>
    <w:next w:val="Normal"/>
    <w:semiHidden/>
    <w:rsid w:val="00EC4C98"/>
    <w:pPr>
      <w:ind w:left="720"/>
    </w:pPr>
  </w:style>
  <w:style w:type="paragraph" w:styleId="Index2">
    <w:name w:val="index 2"/>
    <w:basedOn w:val="Normal"/>
    <w:next w:val="Normal"/>
    <w:semiHidden/>
    <w:rsid w:val="00EC4C98"/>
    <w:pPr>
      <w:ind w:left="360"/>
    </w:pPr>
  </w:style>
  <w:style w:type="paragraph" w:styleId="Index1">
    <w:name w:val="index 1"/>
    <w:basedOn w:val="Normal"/>
    <w:next w:val="Normal"/>
    <w:semiHidden/>
    <w:rsid w:val="00EC4C98"/>
  </w:style>
  <w:style w:type="character" w:styleId="LineNumber">
    <w:name w:val="line number"/>
    <w:basedOn w:val="DefaultParagraphFont"/>
    <w:rsid w:val="00EC4C98"/>
  </w:style>
  <w:style w:type="paragraph" w:styleId="IndexHeading">
    <w:name w:val="index heading"/>
    <w:basedOn w:val="Normal"/>
    <w:next w:val="Index1"/>
    <w:semiHidden/>
    <w:rsid w:val="00EC4C98"/>
  </w:style>
  <w:style w:type="paragraph" w:styleId="Footer">
    <w:name w:val="footer"/>
    <w:basedOn w:val="Normal"/>
    <w:link w:val="FooterChar"/>
    <w:uiPriority w:val="99"/>
    <w:rsid w:val="00EC4C98"/>
    <w:pPr>
      <w:tabs>
        <w:tab w:val="center" w:pos="4320"/>
        <w:tab w:val="right" w:pos="8640"/>
      </w:tabs>
    </w:pPr>
    <w:rPr>
      <w:sz w:val="20"/>
    </w:rPr>
  </w:style>
  <w:style w:type="paragraph" w:styleId="Header">
    <w:name w:val="header"/>
    <w:basedOn w:val="Normal"/>
    <w:rsid w:val="00EC4C98"/>
    <w:pPr>
      <w:tabs>
        <w:tab w:val="center" w:pos="4320"/>
        <w:tab w:val="right" w:pos="8640"/>
      </w:tabs>
    </w:pPr>
    <w:rPr>
      <w:b/>
    </w:rPr>
  </w:style>
  <w:style w:type="character" w:styleId="FootnoteReference">
    <w:name w:val="footnote reference"/>
    <w:uiPriority w:val="99"/>
    <w:semiHidden/>
    <w:rsid w:val="00EC4C98"/>
    <w:rPr>
      <w:rFonts w:ascii="Arial" w:hAnsi="Arial"/>
      <w:position w:val="6"/>
      <w:sz w:val="16"/>
    </w:rPr>
  </w:style>
  <w:style w:type="paragraph" w:styleId="FootnoteText">
    <w:name w:val="footnote text"/>
    <w:basedOn w:val="Normal"/>
    <w:link w:val="FootnoteTextChar"/>
    <w:uiPriority w:val="99"/>
    <w:semiHidden/>
    <w:rsid w:val="00EC4C98"/>
    <w:pPr>
      <w:ind w:left="288" w:hanging="288"/>
    </w:pPr>
    <w:rPr>
      <w:sz w:val="20"/>
    </w:rPr>
  </w:style>
  <w:style w:type="paragraph" w:styleId="NormalIndent">
    <w:name w:val="Normal Indent"/>
    <w:basedOn w:val="Normal"/>
    <w:rsid w:val="00EC4C98"/>
    <w:pPr>
      <w:ind w:left="720"/>
    </w:pPr>
  </w:style>
  <w:style w:type="paragraph" w:styleId="TableofFigures">
    <w:name w:val="table of figures"/>
    <w:basedOn w:val="Normal"/>
    <w:next w:val="Normal"/>
    <w:semiHidden/>
    <w:rsid w:val="00EC4C98"/>
    <w:pPr>
      <w:tabs>
        <w:tab w:val="right" w:leader="dot" w:pos="9360"/>
      </w:tabs>
      <w:ind w:left="480" w:hanging="480"/>
    </w:pPr>
  </w:style>
  <w:style w:type="paragraph" w:styleId="TOC9">
    <w:name w:val="toc 9"/>
    <w:basedOn w:val="Normal"/>
    <w:next w:val="Normal"/>
    <w:semiHidden/>
    <w:rsid w:val="00EC4C98"/>
    <w:pPr>
      <w:tabs>
        <w:tab w:val="right" w:leader="dot" w:pos="9360"/>
      </w:tabs>
      <w:ind w:left="864"/>
    </w:pPr>
  </w:style>
  <w:style w:type="character" w:customStyle="1" w:styleId="Keycaps">
    <w:name w:val="Keycaps"/>
    <w:rsid w:val="00EC4C98"/>
    <w:rPr>
      <w:rFonts w:ascii="RRKeyCaps" w:hAnsi="RRKeyCaps"/>
    </w:rPr>
  </w:style>
  <w:style w:type="character" w:customStyle="1" w:styleId="Keyletters">
    <w:name w:val="Keyletters"/>
    <w:rsid w:val="00EC4C98"/>
    <w:rPr>
      <w:rFonts w:ascii="RRKeyLetters" w:hAnsi="RRKeyLetters"/>
    </w:rPr>
  </w:style>
  <w:style w:type="paragraph" w:styleId="Quote">
    <w:name w:val="Quote"/>
    <w:basedOn w:val="Normal"/>
    <w:next w:val="Normal"/>
    <w:qFormat/>
    <w:rsid w:val="00EC4C98"/>
    <w:pPr>
      <w:keepLines/>
      <w:ind w:left="720" w:right="720"/>
    </w:pPr>
  </w:style>
  <w:style w:type="paragraph" w:customStyle="1" w:styleId="1BulletList">
    <w:name w:val="1Bullet List"/>
    <w:rsid w:val="00EC4C98"/>
    <w:pPr>
      <w:widowControl w:val="0"/>
      <w:tabs>
        <w:tab w:val="left" w:pos="720"/>
      </w:tabs>
      <w:ind w:left="720" w:hanging="720"/>
      <w:jc w:val="both"/>
    </w:pPr>
    <w:rPr>
      <w:snapToGrid w:val="0"/>
      <w:sz w:val="24"/>
    </w:rPr>
  </w:style>
  <w:style w:type="paragraph" w:customStyle="1" w:styleId="1Paragraph">
    <w:name w:val="1Paragraph"/>
    <w:rsid w:val="00EC4C98"/>
    <w:pPr>
      <w:widowControl w:val="0"/>
      <w:tabs>
        <w:tab w:val="left" w:pos="720"/>
      </w:tabs>
      <w:ind w:left="720" w:hanging="720"/>
    </w:pPr>
    <w:rPr>
      <w:snapToGrid w:val="0"/>
      <w:sz w:val="24"/>
    </w:rPr>
  </w:style>
  <w:style w:type="paragraph" w:styleId="BlockText">
    <w:name w:val="Block Text"/>
    <w:basedOn w:val="Normal"/>
    <w:rsid w:val="00EC4C98"/>
    <w:pPr>
      <w:tabs>
        <w:tab w:val="left" w:pos="1080"/>
      </w:tabs>
      <w:ind w:left="1080" w:right="720" w:hanging="360"/>
    </w:pPr>
    <w:rPr>
      <w:sz w:val="20"/>
    </w:rPr>
  </w:style>
  <w:style w:type="paragraph" w:styleId="BodyText">
    <w:name w:val="Body Text"/>
    <w:basedOn w:val="Normal"/>
    <w:rsid w:val="00EC4C98"/>
    <w:rPr>
      <w:b/>
    </w:rPr>
  </w:style>
  <w:style w:type="paragraph" w:styleId="BodyText2">
    <w:name w:val="Body Text 2"/>
    <w:basedOn w:val="Normal"/>
    <w:rsid w:val="00EC4C98"/>
    <w:pPr>
      <w:ind w:left="720"/>
      <w:jc w:val="left"/>
    </w:pPr>
    <w:rPr>
      <w:color w:val="000000"/>
    </w:rPr>
  </w:style>
  <w:style w:type="paragraph" w:styleId="BodyText3">
    <w:name w:val="Body Text 3"/>
    <w:basedOn w:val="Normal"/>
    <w:rsid w:val="00EC4C98"/>
    <w:rPr>
      <w:color w:val="000000"/>
    </w:rPr>
  </w:style>
  <w:style w:type="paragraph" w:styleId="BodyTextIndent">
    <w:name w:val="Body Text Indent"/>
    <w:basedOn w:val="Normal"/>
    <w:link w:val="BodyTextIndentChar"/>
    <w:rsid w:val="00EC4C98"/>
    <w:pPr>
      <w:spacing w:line="240" w:lineRule="atLeast"/>
      <w:ind w:firstLine="720"/>
    </w:pPr>
  </w:style>
  <w:style w:type="paragraph" w:styleId="BodyTextIndent2">
    <w:name w:val="Body Text Indent 2"/>
    <w:basedOn w:val="Normal"/>
    <w:rsid w:val="00EC4C98"/>
    <w:pPr>
      <w:ind w:left="720"/>
    </w:pPr>
  </w:style>
  <w:style w:type="paragraph" w:styleId="BodyTextIndent3">
    <w:name w:val="Body Text Indent 3"/>
    <w:basedOn w:val="Normal"/>
    <w:rsid w:val="00EC4C98"/>
    <w:pPr>
      <w:spacing w:line="240" w:lineRule="atLeast"/>
      <w:ind w:firstLine="360"/>
    </w:pPr>
  </w:style>
  <w:style w:type="paragraph" w:styleId="DocumentMap">
    <w:name w:val="Document Map"/>
    <w:basedOn w:val="Normal"/>
    <w:semiHidden/>
    <w:rsid w:val="00EC4C98"/>
    <w:pPr>
      <w:shd w:val="clear" w:color="auto" w:fill="000080"/>
    </w:pPr>
    <w:rPr>
      <w:rFonts w:ascii="Tahoma" w:hAnsi="Tahoma"/>
    </w:rPr>
  </w:style>
  <w:style w:type="character" w:styleId="PageNumber">
    <w:name w:val="page number"/>
    <w:basedOn w:val="DefaultParagraphFont"/>
    <w:rsid w:val="00EC4C98"/>
  </w:style>
  <w:style w:type="character" w:customStyle="1" w:styleId="BodyTextIndentChar">
    <w:name w:val="Body Text Indent Char"/>
    <w:link w:val="BodyTextIndent"/>
    <w:rsid w:val="00EC4C98"/>
    <w:rPr>
      <w:rFonts w:ascii="Arial" w:hAnsi="Arial"/>
      <w:sz w:val="24"/>
      <w:lang w:val="en-US" w:eastAsia="en-US" w:bidi="ar-SA"/>
    </w:rPr>
  </w:style>
  <w:style w:type="character" w:styleId="Hyperlink">
    <w:name w:val="Hyperlink"/>
    <w:uiPriority w:val="99"/>
    <w:rsid w:val="00EC4C98"/>
    <w:rPr>
      <w:color w:val="0000FF"/>
      <w:u w:val="single"/>
    </w:rPr>
  </w:style>
  <w:style w:type="numbering" w:customStyle="1" w:styleId="CurrentList1">
    <w:name w:val="Current List1"/>
    <w:rsid w:val="00EC4C98"/>
    <w:pPr>
      <w:numPr>
        <w:numId w:val="7"/>
      </w:numPr>
    </w:pPr>
  </w:style>
  <w:style w:type="numbering" w:customStyle="1" w:styleId="Decision">
    <w:name w:val="Decision"/>
    <w:rsid w:val="00EC4C98"/>
    <w:pPr>
      <w:numPr>
        <w:numId w:val="8"/>
      </w:numPr>
    </w:pPr>
  </w:style>
  <w:style w:type="paragraph" w:styleId="BalloonText">
    <w:name w:val="Balloon Text"/>
    <w:basedOn w:val="Normal"/>
    <w:link w:val="BalloonTextChar"/>
    <w:rsid w:val="00ED6378"/>
    <w:rPr>
      <w:rFonts w:ascii="Tahoma" w:hAnsi="Tahoma" w:cs="Tahoma"/>
      <w:sz w:val="16"/>
      <w:szCs w:val="16"/>
    </w:rPr>
  </w:style>
  <w:style w:type="character" w:customStyle="1" w:styleId="BalloonTextChar">
    <w:name w:val="Balloon Text Char"/>
    <w:basedOn w:val="DefaultParagraphFont"/>
    <w:link w:val="BalloonText"/>
    <w:rsid w:val="00ED6378"/>
    <w:rPr>
      <w:rFonts w:ascii="Tahoma" w:hAnsi="Tahoma" w:cs="Tahoma"/>
      <w:sz w:val="16"/>
      <w:szCs w:val="16"/>
    </w:rPr>
  </w:style>
  <w:style w:type="paragraph" w:styleId="TOCHeading">
    <w:name w:val="TOC Heading"/>
    <w:basedOn w:val="Heading1"/>
    <w:next w:val="Normal"/>
    <w:uiPriority w:val="39"/>
    <w:semiHidden/>
    <w:unhideWhenUsed/>
    <w:qFormat/>
    <w:rsid w:val="002E24B8"/>
    <w:pPr>
      <w:keepNext/>
      <w:keepLines/>
      <w:numPr>
        <w:numId w:val="0"/>
      </w:numPr>
      <w:tabs>
        <w:tab w:val="clear" w:pos="720"/>
      </w:tabs>
      <w:spacing w:before="480"/>
      <w:outlineLvl w:val="9"/>
    </w:pPr>
    <w:rPr>
      <w:rFonts w:asciiTheme="majorHAnsi" w:eastAsiaTheme="majorEastAsia" w:hAnsiTheme="majorHAnsi" w:cstheme="majorBidi"/>
      <w:bCs/>
      <w:caps w:val="0"/>
      <w:color w:val="365F91" w:themeColor="accent1" w:themeShade="BF"/>
      <w:sz w:val="28"/>
      <w:szCs w:val="28"/>
    </w:rPr>
  </w:style>
  <w:style w:type="paragraph" w:styleId="ListParagraph">
    <w:name w:val="List Paragraph"/>
    <w:basedOn w:val="Normal"/>
    <w:uiPriority w:val="34"/>
    <w:qFormat/>
    <w:rsid w:val="002E24B8"/>
    <w:pPr>
      <w:ind w:left="720"/>
      <w:contextualSpacing/>
    </w:pPr>
  </w:style>
  <w:style w:type="character" w:customStyle="1" w:styleId="FootnoteTextChar">
    <w:name w:val="Footnote Text Char"/>
    <w:basedOn w:val="DefaultParagraphFont"/>
    <w:link w:val="FootnoteText"/>
    <w:uiPriority w:val="99"/>
    <w:semiHidden/>
    <w:rsid w:val="0067159D"/>
    <w:rPr>
      <w:rFonts w:ascii="Arial" w:hAnsi="Arial"/>
    </w:rPr>
  </w:style>
  <w:style w:type="paragraph" w:customStyle="1" w:styleId="Default">
    <w:name w:val="Default"/>
    <w:rsid w:val="0067159D"/>
    <w:pPr>
      <w:autoSpaceDE w:val="0"/>
      <w:autoSpaceDN w:val="0"/>
      <w:adjustRightInd w:val="0"/>
    </w:pPr>
    <w:rPr>
      <w:rFonts w:eastAsiaTheme="minorHAnsi"/>
      <w:color w:val="000000"/>
      <w:sz w:val="24"/>
      <w:szCs w:val="24"/>
    </w:rPr>
  </w:style>
  <w:style w:type="paragraph" w:styleId="CommentSubject">
    <w:name w:val="annotation subject"/>
    <w:basedOn w:val="CommentText"/>
    <w:next w:val="CommentText"/>
    <w:link w:val="CommentSubjectChar"/>
    <w:semiHidden/>
    <w:unhideWhenUsed/>
    <w:rsid w:val="005F7F8A"/>
    <w:rPr>
      <w:b/>
      <w:bCs/>
    </w:rPr>
  </w:style>
  <w:style w:type="character" w:customStyle="1" w:styleId="CommentTextChar">
    <w:name w:val="Comment Text Char"/>
    <w:basedOn w:val="DefaultParagraphFont"/>
    <w:link w:val="CommentText"/>
    <w:semiHidden/>
    <w:rsid w:val="005F7F8A"/>
    <w:rPr>
      <w:rFonts w:ascii="Arial" w:hAnsi="Arial"/>
    </w:rPr>
  </w:style>
  <w:style w:type="character" w:customStyle="1" w:styleId="CommentSubjectChar">
    <w:name w:val="Comment Subject Char"/>
    <w:basedOn w:val="CommentTextChar"/>
    <w:link w:val="CommentSubject"/>
    <w:semiHidden/>
    <w:rsid w:val="005F7F8A"/>
    <w:rPr>
      <w:rFonts w:ascii="Arial" w:hAnsi="Arial"/>
      <w:b/>
      <w:bCs/>
    </w:rPr>
  </w:style>
  <w:style w:type="character" w:customStyle="1" w:styleId="FooterChar">
    <w:name w:val="Footer Char"/>
    <w:basedOn w:val="DefaultParagraphFont"/>
    <w:link w:val="Footer"/>
    <w:uiPriority w:val="99"/>
    <w:rsid w:val="005303FF"/>
    <w:rPr>
      <w:rFonts w:ascii="Arial" w:hAnsi="Arial"/>
    </w:rPr>
  </w:style>
  <w:style w:type="paragraph" w:styleId="Revision">
    <w:name w:val="Revision"/>
    <w:hidden/>
    <w:uiPriority w:val="99"/>
    <w:semiHidden/>
    <w:rsid w:val="0029261F"/>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C98"/>
    <w:pPr>
      <w:jc w:val="both"/>
    </w:pPr>
    <w:rPr>
      <w:rFonts w:ascii="Arial" w:hAnsi="Arial"/>
      <w:sz w:val="24"/>
    </w:rPr>
  </w:style>
  <w:style w:type="paragraph" w:styleId="Heading1">
    <w:name w:val="heading 1"/>
    <w:basedOn w:val="Normal"/>
    <w:next w:val="Normal"/>
    <w:qFormat/>
    <w:rsid w:val="00392CD6"/>
    <w:pPr>
      <w:numPr>
        <w:numId w:val="27"/>
      </w:numPr>
      <w:tabs>
        <w:tab w:val="clear" w:pos="360"/>
        <w:tab w:val="left" w:pos="720"/>
      </w:tabs>
      <w:outlineLvl w:val="0"/>
    </w:pPr>
    <w:rPr>
      <w:b/>
      <w:caps/>
    </w:rPr>
  </w:style>
  <w:style w:type="paragraph" w:styleId="Heading2">
    <w:name w:val="heading 2"/>
    <w:basedOn w:val="Normal"/>
    <w:next w:val="Normal"/>
    <w:qFormat/>
    <w:rsid w:val="00392CD6"/>
    <w:pPr>
      <w:numPr>
        <w:ilvl w:val="1"/>
        <w:numId w:val="27"/>
      </w:numPr>
      <w:tabs>
        <w:tab w:val="clear" w:pos="1080"/>
        <w:tab w:val="left" w:pos="720"/>
      </w:tabs>
      <w:outlineLvl w:val="1"/>
    </w:pPr>
    <w:rPr>
      <w:b/>
      <w:smallCaps/>
    </w:rPr>
  </w:style>
  <w:style w:type="paragraph" w:styleId="Heading3">
    <w:name w:val="heading 3"/>
    <w:basedOn w:val="Normal"/>
    <w:next w:val="Normal"/>
    <w:qFormat/>
    <w:rsid w:val="00392CD6"/>
    <w:pPr>
      <w:numPr>
        <w:ilvl w:val="2"/>
        <w:numId w:val="27"/>
      </w:numPr>
      <w:tabs>
        <w:tab w:val="clear" w:pos="1800"/>
        <w:tab w:val="left" w:pos="720"/>
      </w:tabs>
      <w:ind w:left="720"/>
      <w:outlineLvl w:val="2"/>
    </w:pPr>
    <w:rPr>
      <w:b/>
    </w:rPr>
  </w:style>
  <w:style w:type="paragraph" w:styleId="Heading4">
    <w:name w:val="heading 4"/>
    <w:basedOn w:val="Normal"/>
    <w:next w:val="Normal"/>
    <w:qFormat/>
    <w:rsid w:val="00392CD6"/>
    <w:pPr>
      <w:numPr>
        <w:ilvl w:val="3"/>
        <w:numId w:val="27"/>
      </w:numPr>
      <w:tabs>
        <w:tab w:val="clear" w:pos="2520"/>
        <w:tab w:val="left" w:pos="720"/>
      </w:tabs>
      <w:ind w:left="1440"/>
      <w:outlineLvl w:val="3"/>
    </w:pPr>
    <w:rPr>
      <w:b/>
    </w:rPr>
  </w:style>
  <w:style w:type="paragraph" w:styleId="Heading5">
    <w:name w:val="heading 5"/>
    <w:basedOn w:val="Normal"/>
    <w:next w:val="Normal"/>
    <w:qFormat/>
    <w:rsid w:val="00392CD6"/>
    <w:pPr>
      <w:numPr>
        <w:ilvl w:val="4"/>
        <w:numId w:val="27"/>
      </w:numPr>
      <w:tabs>
        <w:tab w:val="clear" w:pos="3240"/>
        <w:tab w:val="left" w:pos="720"/>
      </w:tabs>
      <w:ind w:left="2160"/>
      <w:outlineLvl w:val="4"/>
    </w:pPr>
    <w:rPr>
      <w:b/>
    </w:rPr>
  </w:style>
  <w:style w:type="paragraph" w:styleId="Heading6">
    <w:name w:val="heading 6"/>
    <w:basedOn w:val="Normal"/>
    <w:next w:val="Normal"/>
    <w:qFormat/>
    <w:rsid w:val="00EC4C98"/>
    <w:pPr>
      <w:ind w:left="1440"/>
      <w:outlineLvl w:val="5"/>
    </w:pPr>
    <w:rPr>
      <w:b/>
    </w:rPr>
  </w:style>
  <w:style w:type="paragraph" w:styleId="Heading7">
    <w:name w:val="heading 7"/>
    <w:basedOn w:val="Normal"/>
    <w:next w:val="Normal"/>
    <w:qFormat/>
    <w:rsid w:val="00EC4C98"/>
    <w:pPr>
      <w:ind w:left="1440"/>
      <w:outlineLvl w:val="6"/>
    </w:pPr>
    <w:rPr>
      <w:b/>
    </w:rPr>
  </w:style>
  <w:style w:type="paragraph" w:styleId="Heading8">
    <w:name w:val="heading 8"/>
    <w:basedOn w:val="Normal"/>
    <w:next w:val="Normal"/>
    <w:qFormat/>
    <w:rsid w:val="00EC4C98"/>
    <w:pPr>
      <w:ind w:left="1440"/>
      <w:outlineLvl w:val="7"/>
    </w:pPr>
    <w:rPr>
      <w:b/>
    </w:rPr>
  </w:style>
  <w:style w:type="paragraph" w:styleId="Heading9">
    <w:name w:val="heading 9"/>
    <w:basedOn w:val="Normal"/>
    <w:next w:val="NormalIndent"/>
    <w:qFormat/>
    <w:rsid w:val="00EC4C98"/>
    <w:pPr>
      <w:ind w:left="14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CommentReference">
    <w:name w:val="annotation reference"/>
    <w:semiHidden/>
    <w:rsid w:val="00EC4C98"/>
    <w:rPr>
      <w:sz w:val="16"/>
    </w:rPr>
  </w:style>
  <w:style w:type="paragraph" w:styleId="CommentText">
    <w:name w:val="annotation text"/>
    <w:basedOn w:val="Normal"/>
    <w:link w:val="CommentTextChar"/>
    <w:semiHidden/>
    <w:rsid w:val="00EC4C98"/>
    <w:rPr>
      <w:sz w:val="20"/>
    </w:rPr>
  </w:style>
  <w:style w:type="paragraph" w:styleId="TOC8">
    <w:name w:val="toc 8"/>
    <w:basedOn w:val="Normal"/>
    <w:next w:val="Normal"/>
    <w:semiHidden/>
    <w:rsid w:val="00EC4C98"/>
    <w:pPr>
      <w:tabs>
        <w:tab w:val="decimal" w:leader="dot" w:pos="9360"/>
      </w:tabs>
      <w:ind w:left="864"/>
    </w:pPr>
  </w:style>
  <w:style w:type="paragraph" w:styleId="TOC7">
    <w:name w:val="toc 7"/>
    <w:basedOn w:val="Normal"/>
    <w:next w:val="Normal"/>
    <w:semiHidden/>
    <w:rsid w:val="00EC4C98"/>
    <w:pPr>
      <w:tabs>
        <w:tab w:val="decimal" w:leader="dot" w:pos="9360"/>
      </w:tabs>
      <w:ind w:left="864"/>
    </w:pPr>
  </w:style>
  <w:style w:type="paragraph" w:styleId="TOC6">
    <w:name w:val="toc 6"/>
    <w:basedOn w:val="Normal"/>
    <w:next w:val="Normal"/>
    <w:semiHidden/>
    <w:rsid w:val="00EC4C98"/>
    <w:pPr>
      <w:tabs>
        <w:tab w:val="decimal" w:leader="dot" w:pos="9360"/>
      </w:tabs>
      <w:ind w:left="864"/>
    </w:pPr>
  </w:style>
  <w:style w:type="paragraph" w:styleId="TOC5">
    <w:name w:val="toc 5"/>
    <w:basedOn w:val="Normal"/>
    <w:next w:val="Normal"/>
    <w:semiHidden/>
    <w:rsid w:val="00EC4C98"/>
    <w:pPr>
      <w:tabs>
        <w:tab w:val="left" w:pos="2160"/>
        <w:tab w:val="decimal" w:leader="dot" w:pos="9360"/>
      </w:tabs>
      <w:ind w:left="1728"/>
    </w:pPr>
    <w:rPr>
      <w:b/>
    </w:rPr>
  </w:style>
  <w:style w:type="paragraph" w:styleId="TOC4">
    <w:name w:val="toc 4"/>
    <w:basedOn w:val="Normal"/>
    <w:next w:val="Normal"/>
    <w:semiHidden/>
    <w:rsid w:val="00EC4C98"/>
    <w:pPr>
      <w:tabs>
        <w:tab w:val="left" w:pos="1728"/>
        <w:tab w:val="decimal" w:leader="dot" w:pos="9360"/>
      </w:tabs>
      <w:ind w:left="1296"/>
    </w:pPr>
    <w:rPr>
      <w:b/>
    </w:rPr>
  </w:style>
  <w:style w:type="paragraph" w:styleId="TOC3">
    <w:name w:val="toc 3"/>
    <w:basedOn w:val="Normal"/>
    <w:next w:val="Normal"/>
    <w:semiHidden/>
    <w:rsid w:val="00EC4C98"/>
    <w:pPr>
      <w:tabs>
        <w:tab w:val="left" w:pos="1296"/>
        <w:tab w:val="decimal" w:leader="dot" w:pos="9360"/>
      </w:tabs>
      <w:ind w:left="864"/>
    </w:pPr>
    <w:rPr>
      <w:b/>
    </w:rPr>
  </w:style>
  <w:style w:type="paragraph" w:styleId="TOC2">
    <w:name w:val="toc 2"/>
    <w:basedOn w:val="Normal"/>
    <w:next w:val="Normal"/>
    <w:uiPriority w:val="39"/>
    <w:rsid w:val="00EC4C98"/>
    <w:pPr>
      <w:tabs>
        <w:tab w:val="left" w:pos="864"/>
        <w:tab w:val="decimal" w:leader="dot" w:pos="9360"/>
      </w:tabs>
      <w:ind w:left="432"/>
    </w:pPr>
    <w:rPr>
      <w:b/>
      <w:smallCaps/>
    </w:rPr>
  </w:style>
  <w:style w:type="paragraph" w:styleId="TOC1">
    <w:name w:val="toc 1"/>
    <w:basedOn w:val="Normal"/>
    <w:next w:val="Normal"/>
    <w:uiPriority w:val="39"/>
    <w:rsid w:val="00EC4C98"/>
    <w:pPr>
      <w:tabs>
        <w:tab w:val="left" w:pos="432"/>
        <w:tab w:val="decimal" w:leader="dot" w:pos="9360"/>
      </w:tabs>
      <w:spacing w:before="240"/>
    </w:pPr>
    <w:rPr>
      <w:b/>
      <w:caps/>
    </w:rPr>
  </w:style>
  <w:style w:type="paragraph" w:styleId="Index7">
    <w:name w:val="index 7"/>
    <w:basedOn w:val="Normal"/>
    <w:next w:val="Normal"/>
    <w:semiHidden/>
    <w:rsid w:val="00EC4C98"/>
    <w:pPr>
      <w:ind w:left="2160"/>
    </w:pPr>
  </w:style>
  <w:style w:type="paragraph" w:styleId="Index6">
    <w:name w:val="index 6"/>
    <w:basedOn w:val="Normal"/>
    <w:next w:val="Normal"/>
    <w:semiHidden/>
    <w:rsid w:val="00EC4C98"/>
    <w:pPr>
      <w:ind w:left="1800"/>
    </w:pPr>
  </w:style>
  <w:style w:type="paragraph" w:styleId="Index5">
    <w:name w:val="index 5"/>
    <w:basedOn w:val="Normal"/>
    <w:next w:val="Normal"/>
    <w:semiHidden/>
    <w:rsid w:val="00EC4C98"/>
    <w:pPr>
      <w:ind w:left="1440"/>
    </w:pPr>
  </w:style>
  <w:style w:type="paragraph" w:styleId="Index4">
    <w:name w:val="index 4"/>
    <w:basedOn w:val="Normal"/>
    <w:next w:val="Normal"/>
    <w:semiHidden/>
    <w:rsid w:val="00EC4C98"/>
    <w:pPr>
      <w:ind w:left="1080"/>
    </w:pPr>
  </w:style>
  <w:style w:type="paragraph" w:styleId="Index3">
    <w:name w:val="index 3"/>
    <w:basedOn w:val="Normal"/>
    <w:next w:val="Normal"/>
    <w:semiHidden/>
    <w:rsid w:val="00EC4C98"/>
    <w:pPr>
      <w:ind w:left="720"/>
    </w:pPr>
  </w:style>
  <w:style w:type="paragraph" w:styleId="Index2">
    <w:name w:val="index 2"/>
    <w:basedOn w:val="Normal"/>
    <w:next w:val="Normal"/>
    <w:semiHidden/>
    <w:rsid w:val="00EC4C98"/>
    <w:pPr>
      <w:ind w:left="360"/>
    </w:pPr>
  </w:style>
  <w:style w:type="paragraph" w:styleId="Index1">
    <w:name w:val="index 1"/>
    <w:basedOn w:val="Normal"/>
    <w:next w:val="Normal"/>
    <w:semiHidden/>
    <w:rsid w:val="00EC4C98"/>
  </w:style>
  <w:style w:type="character" w:styleId="LineNumber">
    <w:name w:val="line number"/>
    <w:basedOn w:val="DefaultParagraphFont"/>
    <w:rsid w:val="00EC4C98"/>
  </w:style>
  <w:style w:type="paragraph" w:styleId="IndexHeading">
    <w:name w:val="index heading"/>
    <w:basedOn w:val="Normal"/>
    <w:next w:val="Index1"/>
    <w:semiHidden/>
    <w:rsid w:val="00EC4C98"/>
  </w:style>
  <w:style w:type="paragraph" w:styleId="Footer">
    <w:name w:val="footer"/>
    <w:basedOn w:val="Normal"/>
    <w:link w:val="FooterChar"/>
    <w:uiPriority w:val="99"/>
    <w:rsid w:val="00EC4C98"/>
    <w:pPr>
      <w:tabs>
        <w:tab w:val="center" w:pos="4320"/>
        <w:tab w:val="right" w:pos="8640"/>
      </w:tabs>
    </w:pPr>
    <w:rPr>
      <w:sz w:val="20"/>
    </w:rPr>
  </w:style>
  <w:style w:type="paragraph" w:styleId="Header">
    <w:name w:val="header"/>
    <w:basedOn w:val="Normal"/>
    <w:rsid w:val="00EC4C98"/>
    <w:pPr>
      <w:tabs>
        <w:tab w:val="center" w:pos="4320"/>
        <w:tab w:val="right" w:pos="8640"/>
      </w:tabs>
    </w:pPr>
    <w:rPr>
      <w:b/>
    </w:rPr>
  </w:style>
  <w:style w:type="character" w:styleId="FootnoteReference">
    <w:name w:val="footnote reference"/>
    <w:uiPriority w:val="99"/>
    <w:semiHidden/>
    <w:rsid w:val="00EC4C98"/>
    <w:rPr>
      <w:rFonts w:ascii="Arial" w:hAnsi="Arial"/>
      <w:position w:val="6"/>
      <w:sz w:val="16"/>
    </w:rPr>
  </w:style>
  <w:style w:type="paragraph" w:styleId="FootnoteText">
    <w:name w:val="footnote text"/>
    <w:basedOn w:val="Normal"/>
    <w:link w:val="FootnoteTextChar"/>
    <w:uiPriority w:val="99"/>
    <w:semiHidden/>
    <w:rsid w:val="00EC4C98"/>
    <w:pPr>
      <w:ind w:left="288" w:hanging="288"/>
    </w:pPr>
    <w:rPr>
      <w:sz w:val="20"/>
    </w:rPr>
  </w:style>
  <w:style w:type="paragraph" w:styleId="NormalIndent">
    <w:name w:val="Normal Indent"/>
    <w:basedOn w:val="Normal"/>
    <w:rsid w:val="00EC4C98"/>
    <w:pPr>
      <w:ind w:left="720"/>
    </w:pPr>
  </w:style>
  <w:style w:type="paragraph" w:styleId="TableofFigures">
    <w:name w:val="table of figures"/>
    <w:basedOn w:val="Normal"/>
    <w:next w:val="Normal"/>
    <w:semiHidden/>
    <w:rsid w:val="00EC4C98"/>
    <w:pPr>
      <w:tabs>
        <w:tab w:val="right" w:leader="dot" w:pos="9360"/>
      </w:tabs>
      <w:ind w:left="480" w:hanging="480"/>
    </w:pPr>
  </w:style>
  <w:style w:type="paragraph" w:styleId="TOC9">
    <w:name w:val="toc 9"/>
    <w:basedOn w:val="Normal"/>
    <w:next w:val="Normal"/>
    <w:semiHidden/>
    <w:rsid w:val="00EC4C98"/>
    <w:pPr>
      <w:tabs>
        <w:tab w:val="right" w:leader="dot" w:pos="9360"/>
      </w:tabs>
      <w:ind w:left="864"/>
    </w:pPr>
  </w:style>
  <w:style w:type="character" w:customStyle="1" w:styleId="Keycaps">
    <w:name w:val="Keycaps"/>
    <w:rsid w:val="00EC4C98"/>
    <w:rPr>
      <w:rFonts w:ascii="RRKeyCaps" w:hAnsi="RRKeyCaps"/>
    </w:rPr>
  </w:style>
  <w:style w:type="character" w:customStyle="1" w:styleId="Keyletters">
    <w:name w:val="Keyletters"/>
    <w:rsid w:val="00EC4C98"/>
    <w:rPr>
      <w:rFonts w:ascii="RRKeyLetters" w:hAnsi="RRKeyLetters"/>
    </w:rPr>
  </w:style>
  <w:style w:type="paragraph" w:styleId="Quote">
    <w:name w:val="Quote"/>
    <w:basedOn w:val="Normal"/>
    <w:next w:val="Normal"/>
    <w:qFormat/>
    <w:rsid w:val="00EC4C98"/>
    <w:pPr>
      <w:keepLines/>
      <w:ind w:left="720" w:right="720"/>
    </w:pPr>
  </w:style>
  <w:style w:type="paragraph" w:customStyle="1" w:styleId="1BulletList">
    <w:name w:val="1Bullet List"/>
    <w:rsid w:val="00EC4C98"/>
    <w:pPr>
      <w:widowControl w:val="0"/>
      <w:tabs>
        <w:tab w:val="left" w:pos="720"/>
      </w:tabs>
      <w:ind w:left="720" w:hanging="720"/>
      <w:jc w:val="both"/>
    </w:pPr>
    <w:rPr>
      <w:snapToGrid w:val="0"/>
      <w:sz w:val="24"/>
    </w:rPr>
  </w:style>
  <w:style w:type="paragraph" w:customStyle="1" w:styleId="1Paragraph">
    <w:name w:val="1Paragraph"/>
    <w:rsid w:val="00EC4C98"/>
    <w:pPr>
      <w:widowControl w:val="0"/>
      <w:tabs>
        <w:tab w:val="left" w:pos="720"/>
      </w:tabs>
      <w:ind w:left="720" w:hanging="720"/>
    </w:pPr>
    <w:rPr>
      <w:snapToGrid w:val="0"/>
      <w:sz w:val="24"/>
    </w:rPr>
  </w:style>
  <w:style w:type="paragraph" w:styleId="BlockText">
    <w:name w:val="Block Text"/>
    <w:basedOn w:val="Normal"/>
    <w:rsid w:val="00EC4C98"/>
    <w:pPr>
      <w:tabs>
        <w:tab w:val="left" w:pos="1080"/>
      </w:tabs>
      <w:ind w:left="1080" w:right="720" w:hanging="360"/>
    </w:pPr>
    <w:rPr>
      <w:sz w:val="20"/>
    </w:rPr>
  </w:style>
  <w:style w:type="paragraph" w:styleId="BodyText">
    <w:name w:val="Body Text"/>
    <w:basedOn w:val="Normal"/>
    <w:rsid w:val="00EC4C98"/>
    <w:rPr>
      <w:b/>
    </w:rPr>
  </w:style>
  <w:style w:type="paragraph" w:styleId="BodyText2">
    <w:name w:val="Body Text 2"/>
    <w:basedOn w:val="Normal"/>
    <w:rsid w:val="00EC4C98"/>
    <w:pPr>
      <w:ind w:left="720"/>
      <w:jc w:val="left"/>
    </w:pPr>
    <w:rPr>
      <w:color w:val="000000"/>
    </w:rPr>
  </w:style>
  <w:style w:type="paragraph" w:styleId="BodyText3">
    <w:name w:val="Body Text 3"/>
    <w:basedOn w:val="Normal"/>
    <w:rsid w:val="00EC4C98"/>
    <w:rPr>
      <w:color w:val="000000"/>
    </w:rPr>
  </w:style>
  <w:style w:type="paragraph" w:styleId="BodyTextIndent">
    <w:name w:val="Body Text Indent"/>
    <w:basedOn w:val="Normal"/>
    <w:link w:val="BodyTextIndentChar"/>
    <w:rsid w:val="00EC4C98"/>
    <w:pPr>
      <w:spacing w:line="240" w:lineRule="atLeast"/>
      <w:ind w:firstLine="720"/>
    </w:pPr>
  </w:style>
  <w:style w:type="paragraph" w:styleId="BodyTextIndent2">
    <w:name w:val="Body Text Indent 2"/>
    <w:basedOn w:val="Normal"/>
    <w:rsid w:val="00EC4C98"/>
    <w:pPr>
      <w:ind w:left="720"/>
    </w:pPr>
  </w:style>
  <w:style w:type="paragraph" w:styleId="BodyTextIndent3">
    <w:name w:val="Body Text Indent 3"/>
    <w:basedOn w:val="Normal"/>
    <w:rsid w:val="00EC4C98"/>
    <w:pPr>
      <w:spacing w:line="240" w:lineRule="atLeast"/>
      <w:ind w:firstLine="360"/>
    </w:pPr>
  </w:style>
  <w:style w:type="paragraph" w:styleId="DocumentMap">
    <w:name w:val="Document Map"/>
    <w:basedOn w:val="Normal"/>
    <w:semiHidden/>
    <w:rsid w:val="00EC4C98"/>
    <w:pPr>
      <w:shd w:val="clear" w:color="auto" w:fill="000080"/>
    </w:pPr>
    <w:rPr>
      <w:rFonts w:ascii="Tahoma" w:hAnsi="Tahoma"/>
    </w:rPr>
  </w:style>
  <w:style w:type="character" w:styleId="PageNumber">
    <w:name w:val="page number"/>
    <w:basedOn w:val="DefaultParagraphFont"/>
    <w:rsid w:val="00EC4C98"/>
  </w:style>
  <w:style w:type="character" w:customStyle="1" w:styleId="BodyTextIndentChar">
    <w:name w:val="Body Text Indent Char"/>
    <w:link w:val="BodyTextIndent"/>
    <w:rsid w:val="00EC4C98"/>
    <w:rPr>
      <w:rFonts w:ascii="Arial" w:hAnsi="Arial"/>
      <w:sz w:val="24"/>
      <w:lang w:val="en-US" w:eastAsia="en-US" w:bidi="ar-SA"/>
    </w:rPr>
  </w:style>
  <w:style w:type="character" w:styleId="Hyperlink">
    <w:name w:val="Hyperlink"/>
    <w:uiPriority w:val="99"/>
    <w:rsid w:val="00EC4C98"/>
    <w:rPr>
      <w:color w:val="0000FF"/>
      <w:u w:val="single"/>
    </w:rPr>
  </w:style>
  <w:style w:type="numbering" w:customStyle="1" w:styleId="CurrentList1">
    <w:name w:val="Current List1"/>
    <w:rsid w:val="00EC4C98"/>
    <w:pPr>
      <w:numPr>
        <w:numId w:val="7"/>
      </w:numPr>
    </w:pPr>
  </w:style>
  <w:style w:type="numbering" w:customStyle="1" w:styleId="Decision">
    <w:name w:val="Decision"/>
    <w:rsid w:val="00EC4C98"/>
    <w:pPr>
      <w:numPr>
        <w:numId w:val="8"/>
      </w:numPr>
    </w:pPr>
  </w:style>
  <w:style w:type="paragraph" w:styleId="BalloonText">
    <w:name w:val="Balloon Text"/>
    <w:basedOn w:val="Normal"/>
    <w:link w:val="BalloonTextChar"/>
    <w:rsid w:val="00ED6378"/>
    <w:rPr>
      <w:rFonts w:ascii="Tahoma" w:hAnsi="Tahoma" w:cs="Tahoma"/>
      <w:sz w:val="16"/>
      <w:szCs w:val="16"/>
    </w:rPr>
  </w:style>
  <w:style w:type="character" w:customStyle="1" w:styleId="BalloonTextChar">
    <w:name w:val="Balloon Text Char"/>
    <w:basedOn w:val="DefaultParagraphFont"/>
    <w:link w:val="BalloonText"/>
    <w:rsid w:val="00ED6378"/>
    <w:rPr>
      <w:rFonts w:ascii="Tahoma" w:hAnsi="Tahoma" w:cs="Tahoma"/>
      <w:sz w:val="16"/>
      <w:szCs w:val="16"/>
    </w:rPr>
  </w:style>
  <w:style w:type="paragraph" w:styleId="TOCHeading">
    <w:name w:val="TOC Heading"/>
    <w:basedOn w:val="Heading1"/>
    <w:next w:val="Normal"/>
    <w:uiPriority w:val="39"/>
    <w:semiHidden/>
    <w:unhideWhenUsed/>
    <w:qFormat/>
    <w:rsid w:val="002E24B8"/>
    <w:pPr>
      <w:keepNext/>
      <w:keepLines/>
      <w:numPr>
        <w:numId w:val="0"/>
      </w:numPr>
      <w:tabs>
        <w:tab w:val="clear" w:pos="720"/>
      </w:tabs>
      <w:spacing w:before="480"/>
      <w:outlineLvl w:val="9"/>
    </w:pPr>
    <w:rPr>
      <w:rFonts w:asciiTheme="majorHAnsi" w:eastAsiaTheme="majorEastAsia" w:hAnsiTheme="majorHAnsi" w:cstheme="majorBidi"/>
      <w:bCs/>
      <w:caps w:val="0"/>
      <w:color w:val="365F91" w:themeColor="accent1" w:themeShade="BF"/>
      <w:sz w:val="28"/>
      <w:szCs w:val="28"/>
    </w:rPr>
  </w:style>
  <w:style w:type="paragraph" w:styleId="ListParagraph">
    <w:name w:val="List Paragraph"/>
    <w:basedOn w:val="Normal"/>
    <w:uiPriority w:val="34"/>
    <w:qFormat/>
    <w:rsid w:val="002E24B8"/>
    <w:pPr>
      <w:ind w:left="720"/>
      <w:contextualSpacing/>
    </w:pPr>
  </w:style>
  <w:style w:type="character" w:customStyle="1" w:styleId="FootnoteTextChar">
    <w:name w:val="Footnote Text Char"/>
    <w:basedOn w:val="DefaultParagraphFont"/>
    <w:link w:val="FootnoteText"/>
    <w:uiPriority w:val="99"/>
    <w:semiHidden/>
    <w:rsid w:val="0067159D"/>
    <w:rPr>
      <w:rFonts w:ascii="Arial" w:hAnsi="Arial"/>
    </w:rPr>
  </w:style>
  <w:style w:type="paragraph" w:customStyle="1" w:styleId="Default">
    <w:name w:val="Default"/>
    <w:rsid w:val="0067159D"/>
    <w:pPr>
      <w:autoSpaceDE w:val="0"/>
      <w:autoSpaceDN w:val="0"/>
      <w:adjustRightInd w:val="0"/>
    </w:pPr>
    <w:rPr>
      <w:rFonts w:eastAsiaTheme="minorHAnsi"/>
      <w:color w:val="000000"/>
      <w:sz w:val="24"/>
      <w:szCs w:val="24"/>
    </w:rPr>
  </w:style>
  <w:style w:type="paragraph" w:styleId="CommentSubject">
    <w:name w:val="annotation subject"/>
    <w:basedOn w:val="CommentText"/>
    <w:next w:val="CommentText"/>
    <w:link w:val="CommentSubjectChar"/>
    <w:semiHidden/>
    <w:unhideWhenUsed/>
    <w:rsid w:val="005F7F8A"/>
    <w:rPr>
      <w:b/>
      <w:bCs/>
    </w:rPr>
  </w:style>
  <w:style w:type="character" w:customStyle="1" w:styleId="CommentTextChar">
    <w:name w:val="Comment Text Char"/>
    <w:basedOn w:val="DefaultParagraphFont"/>
    <w:link w:val="CommentText"/>
    <w:semiHidden/>
    <w:rsid w:val="005F7F8A"/>
    <w:rPr>
      <w:rFonts w:ascii="Arial" w:hAnsi="Arial"/>
    </w:rPr>
  </w:style>
  <w:style w:type="character" w:customStyle="1" w:styleId="CommentSubjectChar">
    <w:name w:val="Comment Subject Char"/>
    <w:basedOn w:val="CommentTextChar"/>
    <w:link w:val="CommentSubject"/>
    <w:semiHidden/>
    <w:rsid w:val="005F7F8A"/>
    <w:rPr>
      <w:rFonts w:ascii="Arial" w:hAnsi="Arial"/>
      <w:b/>
      <w:bCs/>
    </w:rPr>
  </w:style>
  <w:style w:type="character" w:customStyle="1" w:styleId="FooterChar">
    <w:name w:val="Footer Char"/>
    <w:basedOn w:val="DefaultParagraphFont"/>
    <w:link w:val="Footer"/>
    <w:uiPriority w:val="99"/>
    <w:rsid w:val="005303FF"/>
    <w:rPr>
      <w:rFonts w:ascii="Arial" w:hAnsi="Arial"/>
    </w:rPr>
  </w:style>
  <w:style w:type="paragraph" w:styleId="Revision">
    <w:name w:val="Revision"/>
    <w:hidden/>
    <w:uiPriority w:val="99"/>
    <w:semiHidden/>
    <w:rsid w:val="0029261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em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G:\Apps\OFFICE2010\template\PURA%20Decisions\DEC-T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86F6A-2F88-471D-8067-9495C5013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DEC-TOC</Template>
  <TotalTime>0</TotalTime>
  <Pages>21</Pages>
  <Words>6291</Words>
  <Characters>37432</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Long Decision template with disclaimer</vt:lpstr>
    </vt:vector>
  </TitlesOfParts>
  <Company>DPUC</Company>
  <LinksUpToDate>false</LinksUpToDate>
  <CharactersWithSpaces>43636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 Decision template with disclaimer</dc:title>
  <dc:creator>Frank M. Augeri</dc:creator>
  <cp:lastModifiedBy>Benton, Elizabeth</cp:lastModifiedBy>
  <cp:revision>2</cp:revision>
  <cp:lastPrinted>2019-10-22T12:33:00Z</cp:lastPrinted>
  <dcterms:created xsi:type="dcterms:W3CDTF">2019-12-03T15:24:00Z</dcterms:created>
  <dcterms:modified xsi:type="dcterms:W3CDTF">2019-12-03T15:24:00Z</dcterms:modified>
</cp:coreProperties>
</file>